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978" w:rsidRDefault="00417978" w:rsidP="00F27874">
      <w:pPr>
        <w:jc w:val="center"/>
        <w:rPr>
          <w:b/>
          <w:sz w:val="26"/>
          <w:szCs w:val="26"/>
          <w:lang w:val="ro-RO"/>
        </w:rPr>
      </w:pPr>
    </w:p>
    <w:p w:rsidR="00417978" w:rsidRDefault="00417978" w:rsidP="00F27874">
      <w:pPr>
        <w:jc w:val="center"/>
        <w:rPr>
          <w:b/>
          <w:sz w:val="26"/>
          <w:szCs w:val="26"/>
          <w:lang w:val="ro-RO"/>
        </w:rPr>
      </w:pPr>
    </w:p>
    <w:p w:rsidR="00EA75C4" w:rsidRPr="000152B5" w:rsidRDefault="001D7BB5" w:rsidP="00F27874">
      <w:pPr>
        <w:jc w:val="center"/>
        <w:rPr>
          <w:b/>
          <w:i/>
          <w:sz w:val="26"/>
          <w:szCs w:val="26"/>
          <w:lang w:val="ro-RO"/>
        </w:rPr>
      </w:pPr>
      <w:r w:rsidRPr="00776BA1">
        <w:rPr>
          <w:b/>
          <w:sz w:val="26"/>
          <w:szCs w:val="26"/>
          <w:lang w:val="ro-RO"/>
        </w:rPr>
        <w:t xml:space="preserve">CONDIŢII GENERALE PENTRU IMPUNEREA AMENZILOR ADMINISTRATIVE </w:t>
      </w:r>
      <w:r w:rsidR="00F27874" w:rsidRPr="00776BA1">
        <w:rPr>
          <w:b/>
          <w:sz w:val="26"/>
          <w:szCs w:val="26"/>
          <w:lang w:val="ro-RO"/>
        </w:rPr>
        <w:t xml:space="preserve">- </w:t>
      </w:r>
      <w:r w:rsidR="00EA75C4" w:rsidRPr="00776BA1">
        <w:rPr>
          <w:sz w:val="26"/>
          <w:szCs w:val="26"/>
          <w:lang w:val="ro-RO"/>
        </w:rPr>
        <w:t xml:space="preserve">(art. 83) </w:t>
      </w:r>
      <w:r w:rsidR="00F27874" w:rsidRPr="00776BA1">
        <w:rPr>
          <w:b/>
          <w:i/>
          <w:sz w:val="26"/>
          <w:szCs w:val="26"/>
          <w:lang w:val="ro-RO"/>
        </w:rPr>
        <w:t>Regulamentul (UE) 2016/679</w:t>
      </w:r>
      <w:r w:rsidR="00F27874" w:rsidRPr="00776BA1">
        <w:rPr>
          <w:sz w:val="26"/>
          <w:szCs w:val="26"/>
          <w:lang w:val="ro-RO"/>
        </w:rPr>
        <w:t xml:space="preserve"> </w:t>
      </w:r>
      <w:r w:rsidR="00F27874" w:rsidRPr="000152B5">
        <w:rPr>
          <w:b/>
          <w:i/>
          <w:sz w:val="26"/>
          <w:szCs w:val="26"/>
          <w:lang w:val="ro-RO"/>
        </w:rPr>
        <w:t>privind protecția persoanelor fizice în ceea ce privește prelucrarea datelor cu caracter personal și privind libera circulație a acestor date</w:t>
      </w:r>
    </w:p>
    <w:p w:rsidR="00F27874" w:rsidRPr="000152B5" w:rsidRDefault="00F27874" w:rsidP="00EA75C4">
      <w:pPr>
        <w:jc w:val="both"/>
        <w:rPr>
          <w:b/>
          <w:i/>
          <w:sz w:val="26"/>
          <w:szCs w:val="26"/>
          <w:lang w:val="ro-RO"/>
        </w:rPr>
      </w:pPr>
    </w:p>
    <w:p w:rsidR="00F27874" w:rsidRPr="00776BA1" w:rsidRDefault="00F27874" w:rsidP="00EA75C4">
      <w:pPr>
        <w:jc w:val="both"/>
        <w:rPr>
          <w:sz w:val="26"/>
          <w:szCs w:val="26"/>
          <w:lang w:val="ro-RO"/>
        </w:rPr>
      </w:pPr>
    </w:p>
    <w:p w:rsidR="00EA75C4" w:rsidRPr="00776BA1" w:rsidRDefault="00EA75C4" w:rsidP="00EA75C4">
      <w:pPr>
        <w:jc w:val="both"/>
        <w:rPr>
          <w:sz w:val="26"/>
          <w:szCs w:val="26"/>
          <w:lang w:val="ro-RO"/>
        </w:rPr>
      </w:pPr>
      <w:r w:rsidRPr="00776BA1">
        <w:rPr>
          <w:sz w:val="26"/>
          <w:szCs w:val="26"/>
          <w:lang w:val="ro-RO"/>
        </w:rPr>
        <w:t xml:space="preserve">Fiecare Autoritate naţională de supraveghere asigură faptul că impunerea unor amenzi administrative pentru încălcările dispoziţiilor </w:t>
      </w:r>
      <w:r w:rsidR="009820EE" w:rsidRPr="00776BA1">
        <w:rPr>
          <w:i/>
          <w:sz w:val="26"/>
          <w:szCs w:val="26"/>
          <w:lang w:val="ro-RO"/>
        </w:rPr>
        <w:t xml:space="preserve">Regulamentului </w:t>
      </w:r>
      <w:r w:rsidRPr="00776BA1">
        <w:rPr>
          <w:sz w:val="26"/>
          <w:szCs w:val="26"/>
          <w:lang w:val="ro-RO"/>
        </w:rPr>
        <w:t xml:space="preserve">este, în fiecare caz, eficace, proporţională şi disuasivă. </w:t>
      </w:r>
    </w:p>
    <w:p w:rsidR="00EA75C4" w:rsidRPr="00776BA1" w:rsidRDefault="00EA75C4" w:rsidP="00EA75C4">
      <w:pPr>
        <w:jc w:val="both"/>
        <w:rPr>
          <w:sz w:val="26"/>
          <w:szCs w:val="26"/>
          <w:lang w:val="ro-RO"/>
        </w:rPr>
      </w:pPr>
    </w:p>
    <w:p w:rsidR="00EA75C4" w:rsidRPr="00776BA1" w:rsidRDefault="00EA75C4" w:rsidP="000375A5">
      <w:pPr>
        <w:spacing w:line="276" w:lineRule="auto"/>
        <w:jc w:val="both"/>
        <w:rPr>
          <w:sz w:val="26"/>
          <w:szCs w:val="26"/>
          <w:lang w:val="ro-RO"/>
        </w:rPr>
      </w:pPr>
      <w:r w:rsidRPr="00776BA1">
        <w:rPr>
          <w:sz w:val="26"/>
          <w:szCs w:val="26"/>
          <w:lang w:val="ro-RO"/>
        </w:rPr>
        <w:t xml:space="preserve">În funcţie de circumstanţele fiecărui caz în parte, amenzile administrative sunt impuse în completarea sau în locul următoarelor </w:t>
      </w:r>
      <w:r w:rsidRPr="00776BA1">
        <w:rPr>
          <w:b/>
          <w:sz w:val="26"/>
          <w:szCs w:val="26"/>
          <w:lang w:val="ro-RO"/>
        </w:rPr>
        <w:t>măsuri</w:t>
      </w:r>
      <w:r w:rsidRPr="00776BA1">
        <w:rPr>
          <w:sz w:val="26"/>
          <w:szCs w:val="26"/>
          <w:vertAlign w:val="superscript"/>
          <w:lang w:val="ro-RO"/>
        </w:rPr>
        <w:footnoteReference w:id="1"/>
      </w:r>
      <w:r w:rsidRPr="00776BA1">
        <w:rPr>
          <w:sz w:val="26"/>
          <w:szCs w:val="26"/>
          <w:lang w:val="ro-RO"/>
        </w:rPr>
        <w:t>:</w:t>
      </w:r>
    </w:p>
    <w:p w:rsidR="00EA75C4" w:rsidRPr="00776BA1" w:rsidRDefault="00EA75C4" w:rsidP="000375A5">
      <w:pPr>
        <w:spacing w:line="276" w:lineRule="auto"/>
        <w:jc w:val="both"/>
        <w:rPr>
          <w:sz w:val="26"/>
          <w:szCs w:val="26"/>
          <w:lang w:val="ro-RO"/>
        </w:rPr>
      </w:pPr>
      <w:r w:rsidRPr="00776BA1">
        <w:rPr>
          <w:sz w:val="26"/>
          <w:szCs w:val="26"/>
          <w:lang w:val="ro-RO"/>
        </w:rPr>
        <w:t xml:space="preserve">a) avertizarea operatorului sau a persoanei împuternicite de operator cu privire la posibilitatea ca operaţiunile de prelucrare prevăzute să încalce dispoziţiile </w:t>
      </w:r>
      <w:r w:rsidRPr="00776BA1">
        <w:rPr>
          <w:i/>
          <w:sz w:val="26"/>
          <w:szCs w:val="26"/>
          <w:lang w:val="ro-RO"/>
        </w:rPr>
        <w:t>Regulamentului</w:t>
      </w:r>
      <w:r w:rsidRPr="00776BA1">
        <w:rPr>
          <w:sz w:val="26"/>
          <w:szCs w:val="26"/>
          <w:lang w:val="ro-RO"/>
        </w:rPr>
        <w:t xml:space="preserve">; </w:t>
      </w:r>
    </w:p>
    <w:p w:rsidR="00EA75C4" w:rsidRPr="00776BA1" w:rsidRDefault="00EA75C4" w:rsidP="000375A5">
      <w:pPr>
        <w:spacing w:line="276" w:lineRule="auto"/>
        <w:jc w:val="both"/>
        <w:rPr>
          <w:sz w:val="26"/>
          <w:szCs w:val="26"/>
          <w:lang w:val="ro-RO"/>
        </w:rPr>
      </w:pPr>
      <w:r w:rsidRPr="00776BA1">
        <w:rPr>
          <w:sz w:val="26"/>
          <w:szCs w:val="26"/>
          <w:lang w:val="ro-RO"/>
        </w:rPr>
        <w:t xml:space="preserve">b) mustrarea adresată unui operator sau unei persoane împuternicite de operator în cazul în care operaţiunile de prelucrare au încălcat dispoziţiile </w:t>
      </w:r>
      <w:r w:rsidRPr="00776BA1">
        <w:rPr>
          <w:i/>
          <w:sz w:val="26"/>
          <w:szCs w:val="26"/>
          <w:lang w:val="ro-RO"/>
        </w:rPr>
        <w:t>Regulamentului;</w:t>
      </w:r>
      <w:r w:rsidRPr="00776BA1">
        <w:rPr>
          <w:sz w:val="26"/>
          <w:szCs w:val="26"/>
          <w:lang w:val="ro-RO"/>
        </w:rPr>
        <w:t xml:space="preserve"> </w:t>
      </w:r>
    </w:p>
    <w:p w:rsidR="00EA75C4" w:rsidRPr="00776BA1" w:rsidRDefault="00EA75C4" w:rsidP="000375A5">
      <w:pPr>
        <w:spacing w:line="276" w:lineRule="auto"/>
        <w:jc w:val="both"/>
        <w:rPr>
          <w:sz w:val="26"/>
          <w:szCs w:val="26"/>
          <w:lang w:val="ro-RO"/>
        </w:rPr>
      </w:pPr>
      <w:r w:rsidRPr="00776BA1">
        <w:rPr>
          <w:sz w:val="26"/>
          <w:szCs w:val="26"/>
          <w:lang w:val="ro-RO"/>
        </w:rPr>
        <w:t xml:space="preserve">c) transmiterea de dispoziţii operatorului sau persoanei împuternicite de operator să respecte cererile persoanei vizate de a-şi exercita drepturile în temeiul </w:t>
      </w:r>
      <w:r w:rsidRPr="00776BA1">
        <w:rPr>
          <w:i/>
          <w:sz w:val="26"/>
          <w:szCs w:val="26"/>
          <w:lang w:val="ro-RO"/>
        </w:rPr>
        <w:t>Regulamentului</w:t>
      </w:r>
      <w:r w:rsidRPr="00776BA1">
        <w:rPr>
          <w:sz w:val="26"/>
          <w:szCs w:val="26"/>
          <w:lang w:val="ro-RO"/>
        </w:rPr>
        <w:t xml:space="preserve">; </w:t>
      </w:r>
    </w:p>
    <w:p w:rsidR="00EA75C4" w:rsidRPr="00776BA1" w:rsidRDefault="00EA75C4" w:rsidP="000375A5">
      <w:pPr>
        <w:spacing w:line="276" w:lineRule="auto"/>
        <w:jc w:val="both"/>
        <w:rPr>
          <w:sz w:val="26"/>
          <w:szCs w:val="26"/>
          <w:lang w:val="ro-RO"/>
        </w:rPr>
      </w:pPr>
      <w:r w:rsidRPr="00776BA1">
        <w:rPr>
          <w:sz w:val="26"/>
          <w:szCs w:val="26"/>
          <w:lang w:val="ro-RO"/>
        </w:rPr>
        <w:t xml:space="preserve">d) transmiterea de dispoziţii operatorului sau persoanei împuternicite de operator să asigure conformitatea operaţiunilor de prelucrare cu dispoziţiile </w:t>
      </w:r>
      <w:r w:rsidRPr="00776BA1">
        <w:rPr>
          <w:i/>
          <w:sz w:val="26"/>
          <w:szCs w:val="26"/>
          <w:lang w:val="ro-RO"/>
        </w:rPr>
        <w:t>Regulamentului,</w:t>
      </w:r>
      <w:r w:rsidRPr="00776BA1">
        <w:rPr>
          <w:sz w:val="26"/>
          <w:szCs w:val="26"/>
          <w:lang w:val="ro-RO"/>
        </w:rPr>
        <w:t xml:space="preserve"> specificând, după caz, modalitatea şi termenul-limită pentru aceasta; </w:t>
      </w:r>
    </w:p>
    <w:p w:rsidR="00EA75C4" w:rsidRPr="00776BA1" w:rsidRDefault="00EA75C4" w:rsidP="000375A5">
      <w:pPr>
        <w:spacing w:line="276" w:lineRule="auto"/>
        <w:jc w:val="both"/>
        <w:rPr>
          <w:sz w:val="26"/>
          <w:szCs w:val="26"/>
          <w:lang w:val="ro-RO"/>
        </w:rPr>
      </w:pPr>
      <w:r w:rsidRPr="00776BA1">
        <w:rPr>
          <w:sz w:val="26"/>
          <w:szCs w:val="26"/>
          <w:lang w:val="ro-RO"/>
        </w:rPr>
        <w:t xml:space="preserve">e) obligarea operatorul să informeze persoana vizată cu privire la o încălcare a protecţiei datelor cu caracter personal; </w:t>
      </w:r>
    </w:p>
    <w:p w:rsidR="00EA75C4" w:rsidRPr="00776BA1" w:rsidRDefault="00EA75C4" w:rsidP="000375A5">
      <w:pPr>
        <w:spacing w:line="276" w:lineRule="auto"/>
        <w:jc w:val="both"/>
        <w:rPr>
          <w:sz w:val="26"/>
          <w:szCs w:val="26"/>
          <w:lang w:val="ro-RO"/>
        </w:rPr>
      </w:pPr>
      <w:r w:rsidRPr="00776BA1">
        <w:rPr>
          <w:sz w:val="26"/>
          <w:szCs w:val="26"/>
          <w:lang w:val="ro-RO"/>
        </w:rPr>
        <w:t xml:space="preserve">f) </w:t>
      </w:r>
      <w:r w:rsidRPr="00776BA1">
        <w:rPr>
          <w:b/>
          <w:sz w:val="26"/>
          <w:szCs w:val="26"/>
          <w:lang w:val="ro-RO"/>
        </w:rPr>
        <w:t>impunerea unei limitări temporare sau definitive, inclusiv o interdicţie asupra prelucrării</w:t>
      </w:r>
      <w:r w:rsidRPr="00776BA1">
        <w:rPr>
          <w:sz w:val="26"/>
          <w:szCs w:val="26"/>
          <w:lang w:val="ro-RO"/>
        </w:rPr>
        <w:t xml:space="preserve">; </w:t>
      </w:r>
    </w:p>
    <w:p w:rsidR="00EA75C4" w:rsidRPr="00776BA1" w:rsidRDefault="00EA75C4" w:rsidP="000375A5">
      <w:pPr>
        <w:spacing w:line="276" w:lineRule="auto"/>
        <w:jc w:val="both"/>
        <w:rPr>
          <w:sz w:val="26"/>
          <w:szCs w:val="26"/>
          <w:lang w:val="ro-RO"/>
        </w:rPr>
      </w:pPr>
      <w:r w:rsidRPr="00776BA1">
        <w:rPr>
          <w:sz w:val="26"/>
          <w:szCs w:val="26"/>
          <w:lang w:val="ro-RO"/>
        </w:rPr>
        <w:t xml:space="preserve">g) dispunerea rectificării sau ştergerii datelor cu caracter personal sau restricţionarea prelucrării, precum şi notificarea acestor acţiuni destinatarilor cărora le-au fost divulgate datele cu caracter personal; </w:t>
      </w:r>
    </w:p>
    <w:p w:rsidR="00EA75C4" w:rsidRPr="00776BA1" w:rsidRDefault="00EA75C4" w:rsidP="000375A5">
      <w:pPr>
        <w:spacing w:line="276" w:lineRule="auto"/>
        <w:jc w:val="both"/>
        <w:rPr>
          <w:sz w:val="26"/>
          <w:szCs w:val="26"/>
          <w:lang w:val="ro-RO"/>
        </w:rPr>
      </w:pPr>
      <w:r w:rsidRPr="00776BA1">
        <w:rPr>
          <w:sz w:val="26"/>
          <w:szCs w:val="26"/>
          <w:lang w:val="ro-RO"/>
        </w:rPr>
        <w:t xml:space="preserve">h) </w:t>
      </w:r>
      <w:r w:rsidRPr="00776BA1">
        <w:rPr>
          <w:b/>
          <w:sz w:val="26"/>
          <w:szCs w:val="26"/>
          <w:lang w:val="ro-RO"/>
        </w:rPr>
        <w:t>retragerea certificării</w:t>
      </w:r>
      <w:r w:rsidRPr="00776BA1">
        <w:rPr>
          <w:sz w:val="26"/>
          <w:szCs w:val="26"/>
          <w:lang w:val="ro-RO"/>
        </w:rPr>
        <w:t xml:space="preserve"> sau obligarea organismului de certificare să retragă o certificare eliberată sau obligarea organismului de certificare să nu elibereze o certificare în cazul în care cerinţele de certificare nu sunt sau nu mai sunt îndeplinite; </w:t>
      </w:r>
    </w:p>
    <w:p w:rsidR="00EA75C4" w:rsidRPr="00776BA1" w:rsidRDefault="00EA75C4" w:rsidP="000375A5">
      <w:pPr>
        <w:spacing w:line="276" w:lineRule="auto"/>
        <w:jc w:val="both"/>
        <w:rPr>
          <w:sz w:val="26"/>
          <w:szCs w:val="26"/>
          <w:lang w:val="ro-RO"/>
        </w:rPr>
      </w:pPr>
      <w:r w:rsidRPr="00776BA1">
        <w:rPr>
          <w:sz w:val="26"/>
          <w:szCs w:val="26"/>
          <w:lang w:val="ro-RO"/>
        </w:rPr>
        <w:t xml:space="preserve">j) </w:t>
      </w:r>
      <w:r w:rsidRPr="00776BA1">
        <w:rPr>
          <w:b/>
          <w:sz w:val="26"/>
          <w:szCs w:val="26"/>
          <w:lang w:val="ro-RO"/>
        </w:rPr>
        <w:t>suspendarea fluxurilor de date</w:t>
      </w:r>
      <w:r w:rsidRPr="00776BA1">
        <w:rPr>
          <w:sz w:val="26"/>
          <w:szCs w:val="26"/>
          <w:lang w:val="ro-RO"/>
        </w:rPr>
        <w:t xml:space="preserve"> către un destinatar dintr-o ţară terţă sau către o organizaţie internaţională. </w:t>
      </w:r>
    </w:p>
    <w:p w:rsidR="00EA75C4" w:rsidRPr="00776BA1" w:rsidRDefault="00EA75C4" w:rsidP="00EA75C4">
      <w:pPr>
        <w:jc w:val="both"/>
        <w:rPr>
          <w:sz w:val="26"/>
          <w:szCs w:val="26"/>
          <w:lang w:val="ro-RO"/>
        </w:rPr>
      </w:pPr>
    </w:p>
    <w:p w:rsidR="00EA75C4" w:rsidRPr="00776BA1" w:rsidRDefault="00EA75C4" w:rsidP="007C75F1">
      <w:pPr>
        <w:spacing w:line="276" w:lineRule="auto"/>
        <w:jc w:val="both"/>
        <w:rPr>
          <w:sz w:val="26"/>
          <w:szCs w:val="26"/>
          <w:lang w:val="ro-RO"/>
        </w:rPr>
      </w:pPr>
      <w:r w:rsidRPr="00776BA1">
        <w:rPr>
          <w:sz w:val="26"/>
          <w:szCs w:val="26"/>
          <w:lang w:val="ro-RO"/>
        </w:rPr>
        <w:lastRenderedPageBreak/>
        <w:t>Atunci când se ia decizia dacă să se impună o amendă administrativă şi decizia cu privire la valoarea amenzii administrative în fiecare caz în parte, se acordă atenţia cuvenită următoarelor aspecte:</w:t>
      </w:r>
    </w:p>
    <w:p w:rsidR="00EA75C4" w:rsidRPr="00776BA1" w:rsidRDefault="00EA75C4" w:rsidP="007C75F1">
      <w:pPr>
        <w:spacing w:line="276" w:lineRule="auto"/>
        <w:jc w:val="both"/>
        <w:rPr>
          <w:sz w:val="26"/>
          <w:szCs w:val="26"/>
          <w:lang w:val="ro-RO"/>
        </w:rPr>
      </w:pPr>
      <w:r w:rsidRPr="00776BA1">
        <w:rPr>
          <w:sz w:val="26"/>
          <w:szCs w:val="26"/>
          <w:lang w:val="ro-RO"/>
        </w:rPr>
        <w:t xml:space="preserve">(a) natura, gravitatea şi durata încălcării, ţinându-se seama de natura, domeniul de aplicare sau scopul prelucrării în cauză, precum şi de numărul persoanelor vizate afectate şi de nivelul prejudiciilor suferite de acestea; </w:t>
      </w:r>
    </w:p>
    <w:p w:rsidR="00EA75C4" w:rsidRPr="00776BA1" w:rsidRDefault="00EA75C4" w:rsidP="007C75F1">
      <w:pPr>
        <w:spacing w:line="276" w:lineRule="auto"/>
        <w:jc w:val="both"/>
        <w:rPr>
          <w:sz w:val="26"/>
          <w:szCs w:val="26"/>
          <w:lang w:val="ro-RO"/>
        </w:rPr>
      </w:pPr>
      <w:r w:rsidRPr="00776BA1">
        <w:rPr>
          <w:sz w:val="26"/>
          <w:szCs w:val="26"/>
          <w:lang w:val="ro-RO"/>
        </w:rPr>
        <w:t xml:space="preserve">(b) dacă încălcarea a fost comisă intenţionat sau din neglijenţă; </w:t>
      </w:r>
    </w:p>
    <w:p w:rsidR="00EA75C4" w:rsidRPr="00776BA1" w:rsidRDefault="00EA75C4" w:rsidP="007C75F1">
      <w:pPr>
        <w:spacing w:line="276" w:lineRule="auto"/>
        <w:jc w:val="both"/>
        <w:rPr>
          <w:sz w:val="26"/>
          <w:szCs w:val="26"/>
          <w:lang w:val="ro-RO"/>
        </w:rPr>
      </w:pPr>
      <w:r w:rsidRPr="00776BA1">
        <w:rPr>
          <w:sz w:val="26"/>
          <w:szCs w:val="26"/>
          <w:lang w:val="ro-RO"/>
        </w:rPr>
        <w:t xml:space="preserve">(c) orice acţiuni întreprinse de operator sau de persoana împuternicită de operator pentru a reduce prejudiciul suferit de persoana vizată; </w:t>
      </w:r>
    </w:p>
    <w:p w:rsidR="00EA75C4" w:rsidRPr="00776BA1" w:rsidRDefault="00EA75C4" w:rsidP="007C75F1">
      <w:pPr>
        <w:spacing w:line="276" w:lineRule="auto"/>
        <w:jc w:val="both"/>
        <w:rPr>
          <w:sz w:val="26"/>
          <w:szCs w:val="26"/>
          <w:lang w:val="ro-RO"/>
        </w:rPr>
      </w:pPr>
      <w:r w:rsidRPr="00776BA1">
        <w:rPr>
          <w:sz w:val="26"/>
          <w:szCs w:val="26"/>
          <w:lang w:val="ro-RO"/>
        </w:rPr>
        <w:t xml:space="preserve">(d) gradul de responsabilitate al operatorului sau al persoanei împuternicite de operator ţinându-se seama de măsurile tehnice şi organizatorice implementate de aceştia ; </w:t>
      </w:r>
    </w:p>
    <w:p w:rsidR="00EA75C4" w:rsidRPr="00776BA1" w:rsidRDefault="00EA75C4" w:rsidP="007C75F1">
      <w:pPr>
        <w:spacing w:line="276" w:lineRule="auto"/>
        <w:jc w:val="both"/>
        <w:rPr>
          <w:sz w:val="26"/>
          <w:szCs w:val="26"/>
          <w:lang w:val="ro-RO"/>
        </w:rPr>
      </w:pPr>
      <w:r w:rsidRPr="00776BA1">
        <w:rPr>
          <w:sz w:val="26"/>
          <w:szCs w:val="26"/>
          <w:lang w:val="ro-RO"/>
        </w:rPr>
        <w:t xml:space="preserve">(e) eventualele încălcări anterioare relevante comise de operator sau de persoana împuternicită de operator; </w:t>
      </w:r>
    </w:p>
    <w:p w:rsidR="00EA75C4" w:rsidRPr="00776BA1" w:rsidRDefault="00EA75C4" w:rsidP="007C75F1">
      <w:pPr>
        <w:spacing w:line="276" w:lineRule="auto"/>
        <w:jc w:val="both"/>
        <w:rPr>
          <w:sz w:val="26"/>
          <w:szCs w:val="26"/>
          <w:lang w:val="ro-RO"/>
        </w:rPr>
      </w:pPr>
      <w:r w:rsidRPr="00776BA1">
        <w:rPr>
          <w:sz w:val="26"/>
          <w:szCs w:val="26"/>
          <w:lang w:val="ro-RO"/>
        </w:rPr>
        <w:t xml:space="preserve">(f) gradul de cooperare cu autoritatea de supraveghere pentru a remedia încălcarea şi a atenua posibilele efecte negative ale încălcării; </w:t>
      </w:r>
    </w:p>
    <w:p w:rsidR="00EA75C4" w:rsidRPr="00776BA1" w:rsidRDefault="00EA75C4" w:rsidP="007C75F1">
      <w:pPr>
        <w:spacing w:line="276" w:lineRule="auto"/>
        <w:jc w:val="both"/>
        <w:rPr>
          <w:sz w:val="26"/>
          <w:szCs w:val="26"/>
          <w:lang w:val="ro-RO"/>
        </w:rPr>
      </w:pPr>
      <w:r w:rsidRPr="00776BA1">
        <w:rPr>
          <w:sz w:val="26"/>
          <w:szCs w:val="26"/>
          <w:lang w:val="ro-RO"/>
        </w:rPr>
        <w:t xml:space="preserve">(g) categoriile de date cu caracter personal afectate de încălcare; </w:t>
      </w:r>
    </w:p>
    <w:p w:rsidR="00EA75C4" w:rsidRPr="00776BA1" w:rsidRDefault="00EA75C4" w:rsidP="007C75F1">
      <w:pPr>
        <w:spacing w:line="276" w:lineRule="auto"/>
        <w:jc w:val="both"/>
        <w:rPr>
          <w:sz w:val="26"/>
          <w:szCs w:val="26"/>
          <w:lang w:val="ro-RO"/>
        </w:rPr>
      </w:pPr>
      <w:r w:rsidRPr="00776BA1">
        <w:rPr>
          <w:sz w:val="26"/>
          <w:szCs w:val="26"/>
          <w:lang w:val="ro-RO"/>
        </w:rPr>
        <w:t xml:space="preserve">(h) modul în care încălcarea a fost adusă la cunoştinţa autorităţii de supraveghere, în special dacă şi în ce măsură operatorul sau persoana împuternicită de operator a notificat încălcarea; </w:t>
      </w:r>
    </w:p>
    <w:p w:rsidR="00EA75C4" w:rsidRPr="00776BA1" w:rsidRDefault="00EA75C4" w:rsidP="007C75F1">
      <w:pPr>
        <w:spacing w:line="276" w:lineRule="auto"/>
        <w:jc w:val="both"/>
        <w:rPr>
          <w:sz w:val="26"/>
          <w:szCs w:val="26"/>
          <w:lang w:val="ro-RO"/>
        </w:rPr>
      </w:pPr>
      <w:r w:rsidRPr="00776BA1">
        <w:rPr>
          <w:sz w:val="26"/>
          <w:szCs w:val="26"/>
          <w:lang w:val="ro-RO"/>
        </w:rPr>
        <w:t xml:space="preserve">(i) în cazul în care măsurile prevăzute la articolul 58 alineatul (2) au fost dispuse anterior împotriva operatorului sau persoanei împuternicite de operator în cauză cu privire la acelaşi obiect, respectarea respectivelor măsuri; </w:t>
      </w:r>
    </w:p>
    <w:p w:rsidR="00EA75C4" w:rsidRPr="00776BA1" w:rsidRDefault="00EA75C4" w:rsidP="007C75F1">
      <w:pPr>
        <w:spacing w:line="276" w:lineRule="auto"/>
        <w:jc w:val="both"/>
        <w:rPr>
          <w:sz w:val="26"/>
          <w:szCs w:val="26"/>
          <w:lang w:val="ro-RO"/>
        </w:rPr>
      </w:pPr>
      <w:r w:rsidRPr="00776BA1">
        <w:rPr>
          <w:sz w:val="26"/>
          <w:szCs w:val="26"/>
          <w:lang w:val="ro-RO"/>
        </w:rPr>
        <w:t xml:space="preserve">(j) aderarea la coduri de conduită sau la mecanisme de certificare; şi </w:t>
      </w:r>
    </w:p>
    <w:p w:rsidR="00EA75C4" w:rsidRPr="00776BA1" w:rsidRDefault="00EA75C4" w:rsidP="007C75F1">
      <w:pPr>
        <w:spacing w:line="276" w:lineRule="auto"/>
        <w:jc w:val="both"/>
        <w:rPr>
          <w:sz w:val="26"/>
          <w:szCs w:val="26"/>
          <w:lang w:val="ro-RO"/>
        </w:rPr>
      </w:pPr>
      <w:r w:rsidRPr="00776BA1">
        <w:rPr>
          <w:sz w:val="26"/>
          <w:szCs w:val="26"/>
          <w:lang w:val="ro-RO"/>
        </w:rPr>
        <w:t xml:space="preserve">(k) orice alt factor agravant sau atenuant aplicabil circumstanţelor cazului, cum ar fi beneficiile financiare dobândite sau pierderile evitate în mod direct sau indirect de pe urma încălcării. </w:t>
      </w:r>
    </w:p>
    <w:p w:rsidR="00EA75C4" w:rsidRPr="00776BA1" w:rsidRDefault="00EA75C4" w:rsidP="007C75F1">
      <w:pPr>
        <w:autoSpaceDE w:val="0"/>
        <w:autoSpaceDN w:val="0"/>
        <w:adjustRightInd w:val="0"/>
        <w:spacing w:line="276" w:lineRule="auto"/>
        <w:ind w:firstLine="720"/>
        <w:jc w:val="both"/>
        <w:rPr>
          <w:sz w:val="26"/>
          <w:szCs w:val="26"/>
          <w:lang w:val="ro-RO"/>
        </w:rPr>
      </w:pPr>
    </w:p>
    <w:p w:rsidR="00BA0136" w:rsidRPr="00776BA1" w:rsidRDefault="00BA0136" w:rsidP="007C75F1">
      <w:pPr>
        <w:spacing w:line="276" w:lineRule="auto"/>
        <w:rPr>
          <w:sz w:val="26"/>
          <w:szCs w:val="26"/>
          <w:lang w:val="ro-RO"/>
        </w:rPr>
      </w:pPr>
    </w:p>
    <w:sectPr w:rsidR="00BA0136" w:rsidRPr="00776BA1" w:rsidSect="00BA013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1F7" w:rsidRDefault="00B641F7" w:rsidP="00EA75C4">
      <w:r>
        <w:separator/>
      </w:r>
    </w:p>
  </w:endnote>
  <w:endnote w:type="continuationSeparator" w:id="0">
    <w:p w:rsidR="00B641F7" w:rsidRDefault="00B641F7" w:rsidP="00EA75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D4A" w:rsidRDefault="00646D4A">
    <w:pPr>
      <w:pStyle w:val="Footer"/>
    </w:pPr>
  </w:p>
  <w:p w:rsidR="00646D4A" w:rsidRDefault="00646D4A" w:rsidP="00646D4A">
    <w:pPr>
      <w:pStyle w:val="Footer"/>
      <w:framePr w:wrap="around" w:vAnchor="text" w:hAnchor="margin" w:xAlign="right" w:y="1"/>
      <w:rPr>
        <w:rStyle w:val="PageNumber"/>
      </w:rPr>
    </w:pPr>
    <w:r>
      <w:rPr>
        <w:lang w:val="ro-RO"/>
      </w:rPr>
      <w:tab/>
    </w:r>
  </w:p>
  <w:p w:rsidR="00346CF5" w:rsidRPr="00A43BE6" w:rsidRDefault="00346CF5" w:rsidP="00646D4A">
    <w:pPr>
      <w:pStyle w:val="Footer"/>
      <w:framePr w:wrap="around" w:vAnchor="text" w:hAnchor="margin" w:xAlign="right" w:y="1"/>
      <w:rPr>
        <w:rStyle w:val="PageNumber"/>
      </w:rPr>
    </w:pPr>
  </w:p>
  <w:tbl>
    <w:tblPr>
      <w:tblW w:w="0" w:type="auto"/>
      <w:jc w:val="center"/>
      <w:tblInd w:w="1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2"/>
      <w:gridCol w:w="1491"/>
      <w:gridCol w:w="1282"/>
    </w:tblGrid>
    <w:tr w:rsidR="00646D4A" w:rsidTr="00767A6E">
      <w:trPr>
        <w:trHeight w:val="70"/>
        <w:jc w:val="center"/>
      </w:trPr>
      <w:tc>
        <w:tcPr>
          <w:tcW w:w="1172" w:type="dxa"/>
          <w:shd w:val="clear" w:color="auto" w:fill="0000FF"/>
        </w:tcPr>
        <w:p w:rsidR="00646D4A" w:rsidRPr="00C803E9" w:rsidRDefault="00646D4A" w:rsidP="00767A6E">
          <w:pPr>
            <w:pStyle w:val="Footer"/>
            <w:ind w:right="360"/>
            <w:jc w:val="center"/>
            <w:rPr>
              <w:sz w:val="8"/>
              <w:szCs w:val="8"/>
            </w:rPr>
          </w:pPr>
        </w:p>
      </w:tc>
      <w:tc>
        <w:tcPr>
          <w:tcW w:w="1491" w:type="dxa"/>
          <w:shd w:val="clear" w:color="auto" w:fill="FFFF00"/>
        </w:tcPr>
        <w:p w:rsidR="00646D4A" w:rsidRPr="00C803E9" w:rsidRDefault="00646D4A" w:rsidP="00767A6E">
          <w:pPr>
            <w:pStyle w:val="Footer"/>
            <w:jc w:val="center"/>
            <w:rPr>
              <w:sz w:val="8"/>
              <w:szCs w:val="8"/>
            </w:rPr>
          </w:pPr>
        </w:p>
      </w:tc>
      <w:tc>
        <w:tcPr>
          <w:tcW w:w="1282" w:type="dxa"/>
          <w:shd w:val="clear" w:color="auto" w:fill="FF0000"/>
        </w:tcPr>
        <w:p w:rsidR="00646D4A" w:rsidRPr="00C803E9" w:rsidRDefault="00646D4A" w:rsidP="00767A6E">
          <w:pPr>
            <w:pStyle w:val="Footer"/>
            <w:jc w:val="center"/>
            <w:rPr>
              <w:sz w:val="8"/>
              <w:szCs w:val="8"/>
            </w:rPr>
          </w:pPr>
        </w:p>
      </w:tc>
    </w:tr>
  </w:tbl>
  <w:p w:rsidR="00646D4A" w:rsidRDefault="00646D4A" w:rsidP="00646D4A">
    <w:pPr>
      <w:pStyle w:val="Footer"/>
      <w:rPr>
        <w:lang w:val="ro-RO"/>
      </w:rPr>
    </w:pPr>
  </w:p>
  <w:p w:rsidR="00646D4A" w:rsidRPr="000152B5" w:rsidRDefault="00646D4A">
    <w:pPr>
      <w:pStyle w:val="Footer"/>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1F7" w:rsidRDefault="00B641F7" w:rsidP="00EA75C4">
      <w:r>
        <w:separator/>
      </w:r>
    </w:p>
  </w:footnote>
  <w:footnote w:type="continuationSeparator" w:id="0">
    <w:p w:rsidR="00B641F7" w:rsidRDefault="00B641F7" w:rsidP="00EA75C4">
      <w:r>
        <w:continuationSeparator/>
      </w:r>
    </w:p>
  </w:footnote>
  <w:footnote w:id="1">
    <w:p w:rsidR="00EA75C4" w:rsidRPr="00522989" w:rsidRDefault="00EA75C4" w:rsidP="00EA75C4">
      <w:pPr>
        <w:pStyle w:val="FootnoteText"/>
        <w:rPr>
          <w:lang w:val="ro-RO"/>
        </w:rPr>
      </w:pPr>
      <w:r>
        <w:rPr>
          <w:rStyle w:val="FootnoteReference"/>
        </w:rPr>
        <w:footnoteRef/>
      </w:r>
      <w:r>
        <w:t xml:space="preserve"> </w:t>
      </w:r>
      <w:proofErr w:type="spellStart"/>
      <w:proofErr w:type="gramStart"/>
      <w:r w:rsidRPr="00522989">
        <w:t>prevăzute</w:t>
      </w:r>
      <w:proofErr w:type="spellEnd"/>
      <w:proofErr w:type="gramEnd"/>
      <w:r w:rsidRPr="00522989">
        <w:t xml:space="preserve"> la ar</w:t>
      </w:r>
      <w:r>
        <w:t xml:space="preserve">t.58 </w:t>
      </w:r>
      <w:proofErr w:type="spellStart"/>
      <w:r>
        <w:t>alin</w:t>
      </w:r>
      <w:proofErr w:type="spellEnd"/>
      <w:r>
        <w:t xml:space="preserve">.(2) lit. a)- h) </w:t>
      </w:r>
      <w:proofErr w:type="spellStart"/>
      <w:r>
        <w:t>şi</w:t>
      </w:r>
      <w:proofErr w:type="spellEnd"/>
      <w:r>
        <w:t xml:space="preserve"> j)</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425"/>
  <w:characterSpacingControl w:val="doNotCompress"/>
  <w:footnotePr>
    <w:footnote w:id="-1"/>
    <w:footnote w:id="0"/>
  </w:footnotePr>
  <w:endnotePr>
    <w:endnote w:id="-1"/>
    <w:endnote w:id="0"/>
  </w:endnotePr>
  <w:compat/>
  <w:rsids>
    <w:rsidRoot w:val="00EA75C4"/>
    <w:rsid w:val="00005659"/>
    <w:rsid w:val="000152B5"/>
    <w:rsid w:val="000375A5"/>
    <w:rsid w:val="000C2D6B"/>
    <w:rsid w:val="00173479"/>
    <w:rsid w:val="001D7BB5"/>
    <w:rsid w:val="001E6FDD"/>
    <w:rsid w:val="002715F4"/>
    <w:rsid w:val="002D1318"/>
    <w:rsid w:val="00346CF5"/>
    <w:rsid w:val="0036704C"/>
    <w:rsid w:val="003B35F0"/>
    <w:rsid w:val="00417978"/>
    <w:rsid w:val="00450584"/>
    <w:rsid w:val="00531EAF"/>
    <w:rsid w:val="00646D4A"/>
    <w:rsid w:val="00664981"/>
    <w:rsid w:val="0074466D"/>
    <w:rsid w:val="00776BA1"/>
    <w:rsid w:val="007C75F1"/>
    <w:rsid w:val="007E1204"/>
    <w:rsid w:val="00934205"/>
    <w:rsid w:val="009820EE"/>
    <w:rsid w:val="009B5397"/>
    <w:rsid w:val="009E60B1"/>
    <w:rsid w:val="00B641F7"/>
    <w:rsid w:val="00BA0136"/>
    <w:rsid w:val="00D94D3C"/>
    <w:rsid w:val="00EA75C4"/>
    <w:rsid w:val="00EC3663"/>
    <w:rsid w:val="00F2787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5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EA75C4"/>
    <w:rPr>
      <w:sz w:val="20"/>
      <w:szCs w:val="20"/>
    </w:rPr>
  </w:style>
  <w:style w:type="character" w:customStyle="1" w:styleId="FootnoteTextChar">
    <w:name w:val="Footnote Text Char"/>
    <w:basedOn w:val="DefaultParagraphFont"/>
    <w:link w:val="FootnoteText"/>
    <w:rsid w:val="00EA75C4"/>
    <w:rPr>
      <w:rFonts w:ascii="Times New Roman" w:eastAsia="Times New Roman" w:hAnsi="Times New Roman" w:cs="Times New Roman"/>
      <w:sz w:val="20"/>
      <w:szCs w:val="20"/>
    </w:rPr>
  </w:style>
  <w:style w:type="character" w:styleId="FootnoteReference">
    <w:name w:val="footnote reference"/>
    <w:uiPriority w:val="99"/>
    <w:semiHidden/>
    <w:unhideWhenUsed/>
    <w:rsid w:val="00EA75C4"/>
    <w:rPr>
      <w:vertAlign w:val="superscript"/>
    </w:rPr>
  </w:style>
  <w:style w:type="paragraph" w:styleId="Header">
    <w:name w:val="header"/>
    <w:basedOn w:val="Normal"/>
    <w:link w:val="HeaderChar"/>
    <w:uiPriority w:val="99"/>
    <w:semiHidden/>
    <w:unhideWhenUsed/>
    <w:rsid w:val="00646D4A"/>
    <w:pPr>
      <w:tabs>
        <w:tab w:val="center" w:pos="4680"/>
        <w:tab w:val="right" w:pos="9360"/>
      </w:tabs>
    </w:pPr>
  </w:style>
  <w:style w:type="character" w:customStyle="1" w:styleId="HeaderChar">
    <w:name w:val="Header Char"/>
    <w:basedOn w:val="DefaultParagraphFont"/>
    <w:link w:val="Header"/>
    <w:uiPriority w:val="99"/>
    <w:semiHidden/>
    <w:rsid w:val="00646D4A"/>
    <w:rPr>
      <w:rFonts w:ascii="Times New Roman" w:eastAsia="Times New Roman" w:hAnsi="Times New Roman" w:cs="Times New Roman"/>
      <w:sz w:val="24"/>
      <w:szCs w:val="24"/>
    </w:rPr>
  </w:style>
  <w:style w:type="paragraph" w:styleId="Footer">
    <w:name w:val="footer"/>
    <w:basedOn w:val="Normal"/>
    <w:link w:val="FooterChar"/>
    <w:unhideWhenUsed/>
    <w:rsid w:val="00646D4A"/>
    <w:pPr>
      <w:tabs>
        <w:tab w:val="center" w:pos="4680"/>
        <w:tab w:val="right" w:pos="9360"/>
      </w:tabs>
    </w:pPr>
  </w:style>
  <w:style w:type="character" w:customStyle="1" w:styleId="FooterChar">
    <w:name w:val="Footer Char"/>
    <w:basedOn w:val="DefaultParagraphFont"/>
    <w:link w:val="Footer"/>
    <w:rsid w:val="00646D4A"/>
    <w:rPr>
      <w:rFonts w:ascii="Times New Roman" w:eastAsia="Times New Roman" w:hAnsi="Times New Roman" w:cs="Times New Roman"/>
      <w:sz w:val="24"/>
      <w:szCs w:val="24"/>
    </w:rPr>
  </w:style>
  <w:style w:type="character" w:styleId="Hyperlink">
    <w:name w:val="Hyperlink"/>
    <w:basedOn w:val="DefaultParagraphFont"/>
    <w:rsid w:val="00646D4A"/>
    <w:rPr>
      <w:color w:val="0000FF"/>
      <w:u w:val="single"/>
    </w:rPr>
  </w:style>
  <w:style w:type="character" w:styleId="PageNumber">
    <w:name w:val="page number"/>
    <w:basedOn w:val="DefaultParagraphFont"/>
    <w:rsid w:val="00646D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584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nagy_florentina_sm</cp:lastModifiedBy>
  <cp:revision>26</cp:revision>
  <cp:lastPrinted>2018-05-02T10:27:00Z</cp:lastPrinted>
  <dcterms:created xsi:type="dcterms:W3CDTF">2018-04-24T07:52:00Z</dcterms:created>
  <dcterms:modified xsi:type="dcterms:W3CDTF">2018-06-14T07:48:00Z</dcterms:modified>
</cp:coreProperties>
</file>