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2C5" w:rsidRPr="005565D0" w:rsidRDefault="00A602C5" w:rsidP="00A602C5">
      <w:pPr>
        <w:jc w:val="center"/>
        <w:rPr>
          <w:b/>
          <w:i/>
          <w:sz w:val="26"/>
          <w:szCs w:val="26"/>
          <w:lang w:val="ro-RO"/>
        </w:rPr>
      </w:pPr>
      <w:r w:rsidRPr="00485DF3">
        <w:rPr>
          <w:b/>
          <w:i/>
          <w:sz w:val="26"/>
          <w:szCs w:val="26"/>
          <w:lang w:val="ro-RO"/>
        </w:rPr>
        <w:t xml:space="preserve"> Regulamentul (UE) 2016/679</w:t>
      </w:r>
      <w:r w:rsidRPr="00485DF3">
        <w:rPr>
          <w:sz w:val="26"/>
          <w:szCs w:val="26"/>
          <w:lang w:val="ro-RO"/>
        </w:rPr>
        <w:t xml:space="preserve"> al Parlamentului European și al Consiliului din 27 aprilie 2016 privind protecția persoanelor fizice în ceea ce privește prelucrarea datelor cu caracter personal și privind libera circulație a acestor date</w:t>
      </w:r>
      <w:r w:rsidR="005565D0">
        <w:rPr>
          <w:sz w:val="26"/>
          <w:szCs w:val="26"/>
          <w:lang w:val="ro-RO"/>
        </w:rPr>
        <w:t xml:space="preserve"> – </w:t>
      </w:r>
      <w:r w:rsidR="005565D0" w:rsidRPr="005565D0">
        <w:rPr>
          <w:b/>
          <w:i/>
          <w:sz w:val="26"/>
          <w:szCs w:val="26"/>
          <w:lang w:val="ro-RO"/>
        </w:rPr>
        <w:t>Domeniile de aplicare</w:t>
      </w:r>
    </w:p>
    <w:p w:rsidR="00A602C5" w:rsidRPr="00485DF3" w:rsidRDefault="00A602C5" w:rsidP="009E3E06">
      <w:pPr>
        <w:jc w:val="both"/>
        <w:rPr>
          <w:sz w:val="26"/>
          <w:szCs w:val="26"/>
          <w:lang w:val="ro-RO"/>
        </w:rPr>
      </w:pPr>
    </w:p>
    <w:p w:rsidR="0088626A" w:rsidRPr="00485DF3" w:rsidRDefault="0088626A" w:rsidP="009E3E06">
      <w:pPr>
        <w:jc w:val="both"/>
        <w:rPr>
          <w:sz w:val="26"/>
          <w:szCs w:val="26"/>
          <w:lang w:val="ro-RO"/>
        </w:rPr>
      </w:pPr>
    </w:p>
    <w:p w:rsidR="004349E1" w:rsidRPr="0002318D" w:rsidRDefault="004349E1" w:rsidP="004349E1">
      <w:pPr>
        <w:autoSpaceDE w:val="0"/>
        <w:autoSpaceDN w:val="0"/>
        <w:adjustRightInd w:val="0"/>
        <w:rPr>
          <w:rFonts w:eastAsiaTheme="minorHAnsi"/>
          <w:b/>
          <w:bCs/>
          <w:i/>
          <w:sz w:val="26"/>
          <w:szCs w:val="26"/>
          <w:lang w:val="ro-RO"/>
        </w:rPr>
      </w:pPr>
      <w:r w:rsidRPr="0002318D">
        <w:rPr>
          <w:rFonts w:eastAsiaTheme="minorHAnsi"/>
          <w:b/>
          <w:bCs/>
          <w:i/>
          <w:sz w:val="26"/>
          <w:szCs w:val="26"/>
          <w:lang w:val="ro-RO"/>
        </w:rPr>
        <w:t>CONTEXT</w:t>
      </w:r>
    </w:p>
    <w:p w:rsidR="00664657" w:rsidRPr="0002318D" w:rsidRDefault="00664657" w:rsidP="004349E1">
      <w:pPr>
        <w:autoSpaceDE w:val="0"/>
        <w:autoSpaceDN w:val="0"/>
        <w:adjustRightInd w:val="0"/>
        <w:rPr>
          <w:rFonts w:eastAsiaTheme="minorHAnsi"/>
          <w:b/>
          <w:bCs/>
          <w:sz w:val="26"/>
          <w:szCs w:val="26"/>
          <w:lang w:val="ro-RO"/>
        </w:rPr>
      </w:pPr>
    </w:p>
    <w:p w:rsidR="004349E1" w:rsidRPr="0002318D" w:rsidRDefault="006F7949" w:rsidP="006F7949">
      <w:pPr>
        <w:autoSpaceDE w:val="0"/>
        <w:autoSpaceDN w:val="0"/>
        <w:adjustRightInd w:val="0"/>
        <w:jc w:val="both"/>
        <w:rPr>
          <w:rFonts w:eastAsiaTheme="minorHAnsi"/>
          <w:sz w:val="26"/>
          <w:szCs w:val="26"/>
          <w:lang w:val="ro-RO"/>
        </w:rPr>
      </w:pPr>
      <w:r w:rsidRPr="0002318D">
        <w:rPr>
          <w:rFonts w:eastAsiaTheme="minorHAnsi"/>
          <w:sz w:val="26"/>
          <w:szCs w:val="26"/>
          <w:lang w:val="ro-RO"/>
        </w:rPr>
        <w:t xml:space="preserve">      </w:t>
      </w:r>
      <w:r w:rsidR="004349E1" w:rsidRPr="0002318D">
        <w:rPr>
          <w:rFonts w:eastAsiaTheme="minorHAnsi"/>
          <w:sz w:val="26"/>
          <w:szCs w:val="26"/>
          <w:lang w:val="ro-RO"/>
        </w:rPr>
        <w:t xml:space="preserve">Parlamentul European și Consiliul au adoptat, în data de 27 aprilie 2016, </w:t>
      </w:r>
      <w:r w:rsidR="004349E1" w:rsidRPr="0002318D">
        <w:rPr>
          <w:rFonts w:eastAsiaTheme="minorHAnsi"/>
          <w:b/>
          <w:bCs/>
          <w:sz w:val="26"/>
          <w:szCs w:val="26"/>
          <w:lang w:val="ro-RO"/>
        </w:rPr>
        <w:t>Regulamentul (UE)</w:t>
      </w:r>
      <w:r w:rsidRPr="0002318D">
        <w:rPr>
          <w:rFonts w:eastAsiaTheme="minorHAnsi"/>
          <w:b/>
          <w:bCs/>
          <w:sz w:val="26"/>
          <w:szCs w:val="26"/>
          <w:lang w:val="ro-RO"/>
        </w:rPr>
        <w:t xml:space="preserve"> </w:t>
      </w:r>
      <w:r w:rsidR="004349E1" w:rsidRPr="0002318D">
        <w:rPr>
          <w:rFonts w:eastAsiaTheme="minorHAnsi"/>
          <w:b/>
          <w:bCs/>
          <w:sz w:val="26"/>
          <w:szCs w:val="26"/>
          <w:lang w:val="ro-RO"/>
        </w:rPr>
        <w:t>2016/679 privind protecţia persoanelor fizice în ceea ce privește prelucrarea datelor cu caracter</w:t>
      </w:r>
      <w:r w:rsidR="00B93D9A" w:rsidRPr="0002318D">
        <w:rPr>
          <w:rFonts w:eastAsiaTheme="minorHAnsi"/>
          <w:b/>
          <w:bCs/>
          <w:sz w:val="26"/>
          <w:szCs w:val="26"/>
          <w:lang w:val="ro-RO"/>
        </w:rPr>
        <w:t xml:space="preserve"> </w:t>
      </w:r>
      <w:r w:rsidR="004349E1" w:rsidRPr="0002318D">
        <w:rPr>
          <w:rFonts w:eastAsiaTheme="minorHAnsi"/>
          <w:b/>
          <w:bCs/>
          <w:sz w:val="26"/>
          <w:szCs w:val="26"/>
          <w:lang w:val="ro-RO"/>
        </w:rPr>
        <w:t>personal și privind libera circulaţie a acestor date și de abrogare a Directivei 95/46/CE</w:t>
      </w:r>
      <w:r w:rsidR="00EB6562" w:rsidRPr="0002318D">
        <w:rPr>
          <w:rFonts w:eastAsiaTheme="minorHAnsi"/>
          <w:b/>
          <w:bCs/>
          <w:sz w:val="26"/>
          <w:szCs w:val="26"/>
          <w:lang w:val="ro-RO"/>
        </w:rPr>
        <w:t xml:space="preserve"> </w:t>
      </w:r>
      <w:r w:rsidR="004349E1" w:rsidRPr="0002318D">
        <w:rPr>
          <w:rFonts w:eastAsiaTheme="minorHAnsi"/>
          <w:b/>
          <w:bCs/>
          <w:sz w:val="26"/>
          <w:szCs w:val="26"/>
          <w:lang w:val="ro-RO"/>
        </w:rPr>
        <w:t>(Regulamentul general privind protecţia datelor - RGPD)</w:t>
      </w:r>
      <w:r w:rsidR="004349E1" w:rsidRPr="0002318D">
        <w:rPr>
          <w:rFonts w:eastAsiaTheme="minorHAnsi"/>
          <w:sz w:val="26"/>
          <w:szCs w:val="26"/>
          <w:lang w:val="ro-RO"/>
        </w:rPr>
        <w:t>.</w:t>
      </w:r>
    </w:p>
    <w:p w:rsidR="00B30C1F" w:rsidRPr="0002318D" w:rsidRDefault="00B30C1F" w:rsidP="006F7949">
      <w:pPr>
        <w:autoSpaceDE w:val="0"/>
        <w:autoSpaceDN w:val="0"/>
        <w:adjustRightInd w:val="0"/>
        <w:jc w:val="both"/>
        <w:rPr>
          <w:rFonts w:eastAsiaTheme="minorHAnsi"/>
          <w:b/>
          <w:bCs/>
          <w:sz w:val="26"/>
          <w:szCs w:val="26"/>
          <w:lang w:val="ro-RO"/>
        </w:rPr>
      </w:pPr>
    </w:p>
    <w:p w:rsidR="004349E1" w:rsidRPr="0002318D" w:rsidRDefault="00EB6562" w:rsidP="006F7949">
      <w:pPr>
        <w:autoSpaceDE w:val="0"/>
        <w:autoSpaceDN w:val="0"/>
        <w:adjustRightInd w:val="0"/>
        <w:jc w:val="both"/>
        <w:rPr>
          <w:rFonts w:eastAsiaTheme="minorHAnsi"/>
          <w:sz w:val="26"/>
          <w:szCs w:val="26"/>
          <w:lang w:val="ro-RO"/>
        </w:rPr>
      </w:pPr>
      <w:r w:rsidRPr="0002318D">
        <w:rPr>
          <w:rFonts w:eastAsiaTheme="minorHAnsi"/>
          <w:sz w:val="26"/>
          <w:szCs w:val="26"/>
          <w:lang w:val="ro-RO"/>
        </w:rPr>
        <w:t xml:space="preserve">        </w:t>
      </w:r>
      <w:r w:rsidR="004349E1" w:rsidRPr="0002318D">
        <w:rPr>
          <w:rFonts w:eastAsiaTheme="minorHAnsi"/>
          <w:sz w:val="26"/>
          <w:szCs w:val="26"/>
          <w:lang w:val="ro-RO"/>
        </w:rPr>
        <w:t>Regulamentul (UE) 2016/679 a fost publicat în Jurnalul Oficial al Uniunii L119 din 4 mai 2016, iar</w:t>
      </w:r>
      <w:r w:rsidR="00DA15AE" w:rsidRPr="0002318D">
        <w:rPr>
          <w:rFonts w:eastAsiaTheme="minorHAnsi"/>
          <w:sz w:val="26"/>
          <w:szCs w:val="26"/>
          <w:lang w:val="ro-RO"/>
        </w:rPr>
        <w:t xml:space="preserve"> </w:t>
      </w:r>
      <w:r w:rsidR="004349E1" w:rsidRPr="0002318D">
        <w:rPr>
          <w:rFonts w:eastAsiaTheme="minorHAnsi"/>
          <w:b/>
          <w:bCs/>
          <w:sz w:val="26"/>
          <w:szCs w:val="26"/>
          <w:lang w:val="ro-RO"/>
        </w:rPr>
        <w:t>prevederile lui vor fi direct aplicabile în toate statele membre ale Uniunii Europene, începând cu</w:t>
      </w:r>
      <w:r w:rsidR="00DA15AE" w:rsidRPr="0002318D">
        <w:rPr>
          <w:rFonts w:eastAsiaTheme="minorHAnsi"/>
          <w:sz w:val="26"/>
          <w:szCs w:val="26"/>
          <w:lang w:val="ro-RO"/>
        </w:rPr>
        <w:t xml:space="preserve"> </w:t>
      </w:r>
      <w:r w:rsidR="004349E1" w:rsidRPr="0002318D">
        <w:rPr>
          <w:rFonts w:eastAsiaTheme="minorHAnsi"/>
          <w:b/>
          <w:bCs/>
          <w:sz w:val="26"/>
          <w:szCs w:val="26"/>
          <w:lang w:val="ro-RO"/>
        </w:rPr>
        <w:t>data de 25 mai 2018</w:t>
      </w:r>
      <w:r w:rsidR="004349E1" w:rsidRPr="0002318D">
        <w:rPr>
          <w:rFonts w:eastAsiaTheme="minorHAnsi"/>
          <w:sz w:val="26"/>
          <w:szCs w:val="26"/>
          <w:lang w:val="ro-RO"/>
        </w:rPr>
        <w:t>.</w:t>
      </w:r>
    </w:p>
    <w:p w:rsidR="00B30C1F" w:rsidRPr="0002318D" w:rsidRDefault="00B30C1F" w:rsidP="006F7949">
      <w:pPr>
        <w:autoSpaceDE w:val="0"/>
        <w:autoSpaceDN w:val="0"/>
        <w:adjustRightInd w:val="0"/>
        <w:jc w:val="both"/>
        <w:rPr>
          <w:rFonts w:eastAsiaTheme="minorHAnsi"/>
          <w:sz w:val="26"/>
          <w:szCs w:val="26"/>
          <w:lang w:val="ro-RO"/>
        </w:rPr>
      </w:pPr>
    </w:p>
    <w:p w:rsidR="004349E1" w:rsidRPr="00EE620B" w:rsidRDefault="00DA15AE" w:rsidP="006F7949">
      <w:pPr>
        <w:autoSpaceDE w:val="0"/>
        <w:autoSpaceDN w:val="0"/>
        <w:adjustRightInd w:val="0"/>
        <w:jc w:val="both"/>
        <w:rPr>
          <w:rFonts w:eastAsiaTheme="minorHAnsi"/>
          <w:b/>
          <w:bCs/>
          <w:sz w:val="26"/>
          <w:szCs w:val="26"/>
          <w:lang w:val="ro-RO"/>
        </w:rPr>
      </w:pPr>
      <w:r w:rsidRPr="0002318D">
        <w:rPr>
          <w:rFonts w:eastAsiaTheme="minorHAnsi"/>
          <w:b/>
          <w:bCs/>
          <w:sz w:val="26"/>
          <w:szCs w:val="26"/>
          <w:lang w:val="ro-RO"/>
        </w:rPr>
        <w:t xml:space="preserve">        </w:t>
      </w:r>
      <w:r w:rsidR="004349E1" w:rsidRPr="00EE620B">
        <w:rPr>
          <w:rFonts w:eastAsiaTheme="minorHAnsi"/>
          <w:b/>
          <w:bCs/>
          <w:sz w:val="26"/>
          <w:szCs w:val="26"/>
          <w:lang w:val="ro-RO"/>
        </w:rPr>
        <w:t>Regulamentul (UE) 2016/679 impune un set unic de reguli în materia protecţiei datelor cu</w:t>
      </w:r>
      <w:r w:rsidR="003D3F90" w:rsidRPr="00EE620B">
        <w:rPr>
          <w:rFonts w:eastAsiaTheme="minorHAnsi"/>
          <w:b/>
          <w:bCs/>
          <w:sz w:val="26"/>
          <w:szCs w:val="26"/>
          <w:lang w:val="ro-RO"/>
        </w:rPr>
        <w:t xml:space="preserve"> </w:t>
      </w:r>
      <w:r w:rsidR="004349E1" w:rsidRPr="00EE620B">
        <w:rPr>
          <w:rFonts w:eastAsiaTheme="minorHAnsi"/>
          <w:b/>
          <w:bCs/>
          <w:sz w:val="26"/>
          <w:szCs w:val="26"/>
          <w:lang w:val="ro-RO"/>
        </w:rPr>
        <w:t>caracter personal, înlocuind Directiva 95/46/CE și, implicit, prevederile Legii nr. 677/2001</w:t>
      </w:r>
      <w:r w:rsidR="004349E1" w:rsidRPr="00EE620B">
        <w:rPr>
          <w:rFonts w:eastAsiaTheme="minorHAnsi"/>
          <w:sz w:val="26"/>
          <w:szCs w:val="26"/>
          <w:lang w:val="ro-RO"/>
        </w:rPr>
        <w:t>.</w:t>
      </w:r>
    </w:p>
    <w:p w:rsidR="00A602C5" w:rsidRPr="00EE620B" w:rsidRDefault="00A602C5" w:rsidP="009E3E06">
      <w:pPr>
        <w:jc w:val="both"/>
        <w:rPr>
          <w:sz w:val="26"/>
          <w:szCs w:val="26"/>
          <w:lang w:val="ro-RO"/>
        </w:rPr>
      </w:pPr>
    </w:p>
    <w:p w:rsidR="00F0576E" w:rsidRPr="00EE620B" w:rsidRDefault="00F0576E" w:rsidP="009E3E06">
      <w:pPr>
        <w:jc w:val="both"/>
        <w:rPr>
          <w:sz w:val="26"/>
          <w:szCs w:val="26"/>
          <w:lang w:val="ro-RO"/>
        </w:rPr>
      </w:pPr>
    </w:p>
    <w:p w:rsidR="00F0576E" w:rsidRPr="00F43125" w:rsidRDefault="00F0576E" w:rsidP="009E3E06">
      <w:pPr>
        <w:jc w:val="both"/>
        <w:rPr>
          <w:b/>
          <w:i/>
          <w:sz w:val="26"/>
          <w:szCs w:val="26"/>
          <w:lang w:val="ro-RO"/>
        </w:rPr>
      </w:pPr>
      <w:r w:rsidRPr="00F43125">
        <w:rPr>
          <w:b/>
          <w:i/>
          <w:sz w:val="26"/>
          <w:szCs w:val="26"/>
          <w:lang w:val="ro-RO"/>
        </w:rPr>
        <w:t>DOMENIILE DE APLICARE</w:t>
      </w:r>
    </w:p>
    <w:p w:rsidR="00F0576E" w:rsidRPr="005565D0" w:rsidRDefault="00F0576E" w:rsidP="009E3E06">
      <w:pPr>
        <w:jc w:val="both"/>
        <w:rPr>
          <w:sz w:val="26"/>
          <w:szCs w:val="26"/>
          <w:lang w:val="ro-RO"/>
        </w:rPr>
      </w:pPr>
    </w:p>
    <w:p w:rsidR="009E3E06" w:rsidRPr="00485DF3" w:rsidRDefault="009E3E06" w:rsidP="00A15178">
      <w:pPr>
        <w:ind w:firstLine="720"/>
        <w:jc w:val="both"/>
        <w:rPr>
          <w:sz w:val="26"/>
          <w:szCs w:val="26"/>
          <w:lang w:val="ro-RO"/>
        </w:rPr>
      </w:pPr>
      <w:r w:rsidRPr="00485DF3">
        <w:rPr>
          <w:sz w:val="26"/>
          <w:szCs w:val="26"/>
          <w:lang w:val="ro-RO"/>
        </w:rPr>
        <w:t xml:space="preserve">În ceea ce privește </w:t>
      </w:r>
      <w:r w:rsidRPr="00485DF3">
        <w:rPr>
          <w:b/>
          <w:sz w:val="26"/>
          <w:szCs w:val="26"/>
          <w:lang w:val="ro-RO"/>
        </w:rPr>
        <w:t>domeniile de aplicare</w:t>
      </w:r>
      <w:r w:rsidRPr="00485DF3">
        <w:rPr>
          <w:sz w:val="26"/>
          <w:szCs w:val="26"/>
          <w:lang w:val="ro-RO"/>
        </w:rPr>
        <w:t xml:space="preserve"> ale celor două instrumente juridice, precizăm faptul că acestea </w:t>
      </w:r>
      <w:r w:rsidRPr="00485DF3">
        <w:rPr>
          <w:b/>
          <w:sz w:val="26"/>
          <w:szCs w:val="26"/>
          <w:lang w:val="ro-RO"/>
        </w:rPr>
        <w:t>sunt complementare</w:t>
      </w:r>
      <w:r w:rsidRPr="00485DF3">
        <w:rPr>
          <w:sz w:val="26"/>
          <w:szCs w:val="26"/>
          <w:lang w:val="ro-RO"/>
        </w:rPr>
        <w:t>, Regulamentul având aplicabilitate generală cu excepția:</w:t>
      </w:r>
    </w:p>
    <w:p w:rsidR="009E3E06" w:rsidRPr="00485DF3" w:rsidRDefault="009E3E06" w:rsidP="009E3E06">
      <w:pPr>
        <w:jc w:val="both"/>
        <w:rPr>
          <w:sz w:val="26"/>
          <w:szCs w:val="26"/>
          <w:lang w:val="ro-RO"/>
        </w:rPr>
      </w:pPr>
      <w:r w:rsidRPr="00485DF3">
        <w:rPr>
          <w:sz w:val="26"/>
          <w:szCs w:val="26"/>
          <w:lang w:val="ro-RO"/>
        </w:rPr>
        <w:t>- activităților care nu intră sub incidența dreptului Uniunii;</w:t>
      </w:r>
    </w:p>
    <w:p w:rsidR="009E3E06" w:rsidRPr="00485DF3" w:rsidRDefault="009E3E06" w:rsidP="009E3E06">
      <w:pPr>
        <w:jc w:val="both"/>
        <w:rPr>
          <w:sz w:val="26"/>
          <w:szCs w:val="26"/>
          <w:lang w:val="ro-RO"/>
        </w:rPr>
      </w:pPr>
      <w:r w:rsidRPr="00485DF3">
        <w:rPr>
          <w:sz w:val="26"/>
          <w:szCs w:val="26"/>
          <w:lang w:val="ro-RO"/>
        </w:rPr>
        <w:t>- activităților desfășurate de către o persoană fizică în cadrul unei activități exclusiv personale sau domestice;</w:t>
      </w:r>
    </w:p>
    <w:p w:rsidR="009E3E06" w:rsidRPr="00485DF3" w:rsidRDefault="009E3E06" w:rsidP="009E3E06">
      <w:pPr>
        <w:jc w:val="both"/>
        <w:rPr>
          <w:sz w:val="26"/>
          <w:szCs w:val="26"/>
          <w:lang w:val="ro-RO"/>
        </w:rPr>
      </w:pPr>
      <w:r w:rsidRPr="00485DF3">
        <w:rPr>
          <w:sz w:val="26"/>
          <w:szCs w:val="26"/>
          <w:lang w:val="ro-RO"/>
        </w:rPr>
        <w:t>- activităților desfășurate de către autoritățile competente în scopul prevenirii, investigării, depistării sau urmăririi penale a infracțiunilor, sau al executării sancțiunilor penale, inclusiv al protejării împotriva amenințărilor la adresa siguranței publice și al prevenirii acestora, domeniu care este reglementat de Directiva (UE) 2016/680.</w:t>
      </w:r>
    </w:p>
    <w:p w:rsidR="00EB2B3E" w:rsidRPr="00485DF3" w:rsidRDefault="00EB2B3E" w:rsidP="009E3E06">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ab/>
      </w:r>
      <w:r w:rsidRPr="00485DF3">
        <w:rPr>
          <w:b/>
          <w:sz w:val="26"/>
          <w:szCs w:val="26"/>
          <w:lang w:val="ro-RO"/>
        </w:rPr>
        <w:t>Domeniu de aplicare</w:t>
      </w:r>
      <w:r w:rsidRPr="00485DF3">
        <w:rPr>
          <w:sz w:val="26"/>
          <w:szCs w:val="26"/>
          <w:lang w:val="ro-RO"/>
        </w:rPr>
        <w:t xml:space="preserve"> </w:t>
      </w:r>
      <w:r w:rsidRPr="00485DF3">
        <w:rPr>
          <w:b/>
          <w:sz w:val="26"/>
          <w:szCs w:val="26"/>
          <w:lang w:val="ro-RO"/>
        </w:rPr>
        <w:t>(material)</w:t>
      </w:r>
      <w:r w:rsidRPr="00485DF3">
        <w:rPr>
          <w:sz w:val="26"/>
          <w:szCs w:val="26"/>
          <w:lang w:val="ro-RO"/>
        </w:rPr>
        <w:t xml:space="preserve"> - (art. 2)</w:t>
      </w:r>
    </w:p>
    <w:p w:rsidR="00EB233C" w:rsidRPr="00485DF3" w:rsidRDefault="00EB233C" w:rsidP="00EB233C">
      <w:pPr>
        <w:jc w:val="both"/>
        <w:rPr>
          <w:sz w:val="26"/>
          <w:szCs w:val="26"/>
          <w:lang w:val="ro-RO"/>
        </w:rPr>
      </w:pPr>
      <w:r w:rsidRPr="00485DF3">
        <w:rPr>
          <w:b/>
          <w:sz w:val="26"/>
          <w:szCs w:val="26"/>
          <w:lang w:val="ro-RO"/>
        </w:rPr>
        <w:t xml:space="preserve">Dispoziţiile Regulamentului nu se aplică </w:t>
      </w:r>
      <w:r w:rsidRPr="00485DF3">
        <w:rPr>
          <w:sz w:val="26"/>
          <w:szCs w:val="26"/>
          <w:lang w:val="ro-RO"/>
        </w:rPr>
        <w:t>activităţilor desfăşurate:</w:t>
      </w:r>
    </w:p>
    <w:p w:rsidR="00EB233C" w:rsidRPr="00485DF3" w:rsidRDefault="00EB233C" w:rsidP="00EB233C">
      <w:pPr>
        <w:jc w:val="both"/>
        <w:rPr>
          <w:sz w:val="26"/>
          <w:szCs w:val="26"/>
          <w:lang w:val="ro-RO"/>
        </w:rPr>
      </w:pPr>
      <w:r w:rsidRPr="00485DF3">
        <w:rPr>
          <w:sz w:val="26"/>
          <w:szCs w:val="26"/>
          <w:lang w:val="ro-RO"/>
        </w:rPr>
        <w:t xml:space="preserve">(a) în cadrul unei activităţi care nu intră sub incidenţa dreptului Uniunii; </w:t>
      </w:r>
    </w:p>
    <w:p w:rsidR="00EB233C" w:rsidRPr="00485DF3" w:rsidRDefault="00EB233C" w:rsidP="00EB233C">
      <w:pPr>
        <w:jc w:val="both"/>
        <w:rPr>
          <w:sz w:val="26"/>
          <w:szCs w:val="26"/>
          <w:lang w:val="ro-RO"/>
        </w:rPr>
      </w:pPr>
      <w:r w:rsidRPr="00485DF3">
        <w:rPr>
          <w:sz w:val="26"/>
          <w:szCs w:val="26"/>
          <w:lang w:val="ro-RO"/>
        </w:rPr>
        <w:t>(b) de către statele membre atunci când desfăşoară activităţi care intră sub incidenţa capitolului 2 al titlului V din Tratatul UE</w:t>
      </w:r>
      <w:r w:rsidRPr="00485DF3">
        <w:rPr>
          <w:sz w:val="26"/>
          <w:szCs w:val="26"/>
          <w:vertAlign w:val="superscript"/>
          <w:lang w:val="ro-RO"/>
        </w:rPr>
        <w:footnoteReference w:id="1"/>
      </w:r>
      <w:r w:rsidRPr="00485DF3">
        <w:rPr>
          <w:sz w:val="26"/>
          <w:szCs w:val="26"/>
          <w:lang w:val="ro-RO"/>
        </w:rPr>
        <w:t xml:space="preserve">; </w:t>
      </w:r>
    </w:p>
    <w:p w:rsidR="00EB233C" w:rsidRPr="00485DF3" w:rsidRDefault="00EB233C" w:rsidP="00EB233C">
      <w:pPr>
        <w:jc w:val="both"/>
        <w:rPr>
          <w:sz w:val="26"/>
          <w:szCs w:val="26"/>
          <w:lang w:val="ro-RO"/>
        </w:rPr>
      </w:pPr>
      <w:r w:rsidRPr="00485DF3">
        <w:rPr>
          <w:sz w:val="26"/>
          <w:szCs w:val="26"/>
          <w:lang w:val="ro-RO"/>
        </w:rPr>
        <w:lastRenderedPageBreak/>
        <w:t xml:space="preserve">(c) de către o persoană fizică în cadrul unei activităţi exclusiv personale sau domestice; </w:t>
      </w:r>
    </w:p>
    <w:p w:rsidR="00EB233C" w:rsidRPr="00485DF3" w:rsidRDefault="00EB233C" w:rsidP="00EB233C">
      <w:pPr>
        <w:jc w:val="both"/>
        <w:rPr>
          <w:sz w:val="26"/>
          <w:szCs w:val="26"/>
          <w:lang w:val="ro-RO"/>
        </w:rPr>
      </w:pPr>
      <w:r w:rsidRPr="00485DF3">
        <w:rPr>
          <w:sz w:val="26"/>
          <w:szCs w:val="26"/>
          <w:lang w:val="ro-RO"/>
        </w:rPr>
        <w:t>(d) de către autorităţile competente în scopul prevenirii, investigării, depistării sau urmăririi penale a infracţiunilor, sau al executării sancţiunilor penale, inclusiv al protejării împotriva ameninţărilor la adresa siguranţei publice şi al prevenirii acestora (domeniul de aplicare al Directivei (UE) 680/2016).</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ab/>
      </w:r>
      <w:r w:rsidRPr="00485DF3">
        <w:rPr>
          <w:b/>
          <w:sz w:val="26"/>
          <w:szCs w:val="26"/>
          <w:lang w:val="ro-RO"/>
        </w:rPr>
        <w:t>Domeniul de aplicare</w:t>
      </w:r>
      <w:r w:rsidRPr="00485DF3">
        <w:rPr>
          <w:sz w:val="26"/>
          <w:szCs w:val="26"/>
          <w:lang w:val="ro-RO"/>
        </w:rPr>
        <w:t xml:space="preserve"> </w:t>
      </w:r>
      <w:r w:rsidRPr="00485DF3">
        <w:rPr>
          <w:b/>
          <w:sz w:val="26"/>
          <w:szCs w:val="26"/>
          <w:lang w:val="ro-RO"/>
        </w:rPr>
        <w:t>(teritorial)</w:t>
      </w:r>
      <w:r w:rsidRPr="00485DF3">
        <w:rPr>
          <w:sz w:val="26"/>
          <w:szCs w:val="26"/>
          <w:lang w:val="ro-RO"/>
        </w:rPr>
        <w:t xml:space="preserve"> - (art. 3)</w:t>
      </w:r>
    </w:p>
    <w:p w:rsidR="00EB233C" w:rsidRPr="00485DF3" w:rsidRDefault="00EB233C" w:rsidP="00EB233C">
      <w:pPr>
        <w:jc w:val="both"/>
        <w:rPr>
          <w:sz w:val="26"/>
          <w:szCs w:val="26"/>
          <w:lang w:val="ro-RO"/>
        </w:rPr>
      </w:pPr>
      <w:r w:rsidRPr="00485DF3">
        <w:rPr>
          <w:b/>
          <w:sz w:val="26"/>
          <w:szCs w:val="26"/>
          <w:lang w:val="ro-RO"/>
        </w:rPr>
        <w:t>Regulamentul se aplică</w:t>
      </w:r>
      <w:r w:rsidRPr="00485DF3">
        <w:rPr>
          <w:sz w:val="26"/>
          <w:szCs w:val="26"/>
          <w:lang w:val="ro-RO"/>
        </w:rPr>
        <w:t xml:space="preserve"> prelucrărilor de date cu caracter personal efectuate de către  operatorii stabiliţi în Uniune indiferent dacă prelucrarea are loc sau nu pe teritoriul UE; se aplică prelucrării datelor cu caracter personal ale unor persoane vizate, care se află în Uniune, de către un operator care nu este stabilit în Uniune în situaţia furnizării unor servicii sau produse ori monitorizarea comportamentului.</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ab/>
      </w:r>
      <w:r w:rsidRPr="00485DF3">
        <w:rPr>
          <w:b/>
          <w:sz w:val="26"/>
          <w:szCs w:val="26"/>
          <w:lang w:val="ro-RO"/>
        </w:rPr>
        <w:t>Definirea unor termeni noi sau clarificarea celor existenți</w:t>
      </w:r>
      <w:r w:rsidRPr="00485DF3">
        <w:rPr>
          <w:sz w:val="26"/>
          <w:szCs w:val="26"/>
          <w:lang w:val="ro-RO"/>
        </w:rPr>
        <w:t xml:space="preserve"> (art. 4)</w:t>
      </w:r>
    </w:p>
    <w:p w:rsidR="00EB233C" w:rsidRPr="00485DF3" w:rsidRDefault="00EB233C" w:rsidP="00EB233C">
      <w:pPr>
        <w:jc w:val="both"/>
        <w:rPr>
          <w:sz w:val="26"/>
          <w:szCs w:val="26"/>
          <w:lang w:val="ro-RO"/>
        </w:rPr>
      </w:pPr>
      <w:r w:rsidRPr="00485DF3">
        <w:rPr>
          <w:sz w:val="26"/>
          <w:szCs w:val="26"/>
          <w:lang w:val="ro-RO"/>
        </w:rPr>
        <w:t xml:space="preserve">a) </w:t>
      </w:r>
      <w:r w:rsidRPr="00485DF3">
        <w:rPr>
          <w:b/>
          <w:sz w:val="26"/>
          <w:szCs w:val="26"/>
          <w:lang w:val="ro-RO"/>
        </w:rPr>
        <w:t>„creare de profiluri”</w:t>
      </w:r>
      <w:r w:rsidRPr="00485DF3">
        <w:rPr>
          <w:sz w:val="26"/>
          <w:szCs w:val="26"/>
          <w:lang w:val="ro-RO"/>
        </w:rPr>
        <w:t xml:space="preserve"> înseamnă orice formă de prelucrare automată a datelor cu caracter personal care constă în utilizarea datelor cu caracter personal pentru a evalua anumite aspecte personale referitoare la o persoană fizică, în special pentru a analiza sau prevedea aspecte privind performanţa la locul de muncă, situaţia economică, sănătatea, preferinţele personale, interesele, fiabilitatea, comportamentul, locul în care se află persoana fizică respectivă sau deplasările acesteia;</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 xml:space="preserve">b) </w:t>
      </w:r>
      <w:r w:rsidRPr="00485DF3">
        <w:rPr>
          <w:b/>
          <w:sz w:val="26"/>
          <w:szCs w:val="26"/>
          <w:lang w:val="ro-RO"/>
        </w:rPr>
        <w:t>„pseudonimizare”</w:t>
      </w:r>
      <w:r w:rsidRPr="00485DF3">
        <w:rPr>
          <w:sz w:val="26"/>
          <w:szCs w:val="26"/>
          <w:lang w:val="ro-RO"/>
        </w:rPr>
        <w:t xml:space="preserve"> înseamnă prelucrarea datelor cu caracter personal într-un asemenea mod încât acestea să nu mai poată fi atribuite unei anume persoane vizate fără a se utiliza informaţii suplimentare, cu condiţia ca aceste informaţii suplimentare să fie stocate separat şi să facă obiectul unor măsuri de natură tehnică şi organizatorică, care să asigure neatribuirea respectivelor date cu caracter personal unei persoane fizice identificate sau identificabile;</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ab/>
        <w:t xml:space="preserve">Aşa cum vom arăta mai târziu, pseudonimizarea se doreşte a fi un instrument util în materia protecţiei datelor cu caracter personal, în special în ceea ce priveşte </w:t>
      </w:r>
      <w:r w:rsidRPr="00485DF3">
        <w:rPr>
          <w:b/>
          <w:sz w:val="26"/>
          <w:szCs w:val="26"/>
          <w:lang w:val="ro-RO"/>
        </w:rPr>
        <w:t>respectarea principiului asigurării protecţiei datelor</w:t>
      </w:r>
      <w:r w:rsidRPr="00485DF3">
        <w:rPr>
          <w:sz w:val="26"/>
          <w:szCs w:val="26"/>
          <w:lang w:val="ro-RO"/>
        </w:rPr>
        <w:t xml:space="preserve"> cu caracter personal. Astfel, este stimulată dezvoltarea unor mecanisme/mijloace de prelucrare prin intermediul cărora, imediat după colectare, anumite categorii de date să fie mascate/înlocuite cu identificatori/altă operaţiune similară, operaţiune care să permită prelucrarea datelor în noul format, fără a fi afectată posibilitatea atingerii scopului determinat explicit şi legitim avut în vedere la momentul colectării, dar care să facă imposibilă prelucrarea acestor date în situaţia în care acestea ar fi accesate în condiţii neconforme legislaţiei aplicabile (incident de securitate);</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 xml:space="preserve">c) </w:t>
      </w:r>
      <w:r w:rsidRPr="00485DF3">
        <w:rPr>
          <w:b/>
          <w:sz w:val="26"/>
          <w:szCs w:val="26"/>
          <w:lang w:val="ro-RO"/>
        </w:rPr>
        <w:t>„destinatar”</w:t>
      </w:r>
      <w:r w:rsidRPr="00485DF3">
        <w:rPr>
          <w:sz w:val="26"/>
          <w:szCs w:val="26"/>
          <w:lang w:val="ro-RO"/>
        </w:rPr>
        <w:t xml:space="preserve"> înseamnă persoana fizică sau juridică, autoritatea publică, agenţia sau alt organism căreia (căruia) îi sunt divulgate datele cu caracter personal, indiferent dacă este sau nu o terţă parte.  Cu toate acestea, autorităţile publice cărora li se pot comunica date </w:t>
      </w:r>
      <w:r w:rsidRPr="00485DF3">
        <w:rPr>
          <w:sz w:val="26"/>
          <w:szCs w:val="26"/>
          <w:lang w:val="ro-RO"/>
        </w:rPr>
        <w:lastRenderedPageBreak/>
        <w:t>cu caracter personal în cadrul unei anumite anchete, în conformitate cu dreptul Uniunii sau cu dreptul intern, nu sunt considerate destinatari; prelucrarea acestor date de către autorităţile publice respective respectă normele aplicabile în materie de protecţie a datelor, în conformitate cu scopurile prelucrării;</w:t>
      </w:r>
    </w:p>
    <w:p w:rsidR="00EB233C" w:rsidRPr="00485DF3" w:rsidRDefault="00EB233C" w:rsidP="00EB233C">
      <w:pPr>
        <w:jc w:val="both"/>
        <w:rPr>
          <w:sz w:val="26"/>
          <w:szCs w:val="26"/>
          <w:lang w:val="ro-RO"/>
        </w:rPr>
      </w:pPr>
    </w:p>
    <w:p w:rsidR="00EB233C" w:rsidRPr="00485DF3" w:rsidRDefault="00EB233C" w:rsidP="00EB233C">
      <w:pPr>
        <w:ind w:firstLine="720"/>
        <w:jc w:val="both"/>
        <w:rPr>
          <w:sz w:val="26"/>
          <w:szCs w:val="26"/>
          <w:lang w:val="ro-RO"/>
        </w:rPr>
      </w:pPr>
      <w:r w:rsidRPr="00485DF3">
        <w:rPr>
          <w:sz w:val="26"/>
          <w:szCs w:val="26"/>
          <w:lang w:val="ro-RO"/>
        </w:rPr>
        <w:t xml:space="preserve">Precizăm faptul că, în ceea ce priveşte destinatarul, în această categorie intră doar persoanele (entităţile) care </w:t>
      </w:r>
      <w:r w:rsidRPr="00485DF3">
        <w:rPr>
          <w:b/>
          <w:sz w:val="26"/>
          <w:szCs w:val="26"/>
          <w:lang w:val="ro-RO"/>
        </w:rPr>
        <w:t>primesc în mod sistematic date</w:t>
      </w:r>
      <w:r w:rsidRPr="00485DF3">
        <w:rPr>
          <w:sz w:val="26"/>
          <w:szCs w:val="26"/>
          <w:lang w:val="ro-RO"/>
        </w:rPr>
        <w:t xml:space="preserve"> cu caracter personal colectate de către alte persoane (entităţi). </w:t>
      </w:r>
    </w:p>
    <w:p w:rsidR="00EB233C" w:rsidRPr="00485DF3" w:rsidRDefault="00EB233C" w:rsidP="00EB233C">
      <w:pPr>
        <w:ind w:firstLine="720"/>
        <w:jc w:val="both"/>
        <w:rPr>
          <w:sz w:val="26"/>
          <w:szCs w:val="26"/>
          <w:lang w:val="ro-RO"/>
        </w:rPr>
      </w:pPr>
      <w:r w:rsidRPr="00485DF3">
        <w:rPr>
          <w:sz w:val="26"/>
          <w:szCs w:val="26"/>
          <w:lang w:val="ro-RO"/>
        </w:rPr>
        <w:t>Spre exemplu, în această categorie se regăsesc (în ceea ce priveşte M.A.I.) Direcția Generală de Pașapoarte (D.G.P.) şi Direcția Regim Permise de Conducere și Înmatriculare a Vehiculelor (D.R.P.C.I.V.), în raport cu serviciile publice comunitare din cadrul instituţiei prefectului. Astfel, serviciul public comunitar este operator de date cu caracter personal şi colectează, în îndeplinirea funcţiilor cu care a fost abilitat, anumite categorii de date cu caracter personal, prevăzute în mod expres de lege, pe care le transmite, după caz, D.G.P. sau D.R.P.C.I.V.</w:t>
      </w:r>
    </w:p>
    <w:p w:rsidR="00EB233C" w:rsidRPr="00485DF3" w:rsidRDefault="00EB233C" w:rsidP="00EB233C">
      <w:pPr>
        <w:jc w:val="both"/>
        <w:rPr>
          <w:sz w:val="26"/>
          <w:szCs w:val="26"/>
          <w:lang w:val="ro-RO"/>
        </w:rPr>
      </w:pPr>
      <w:r w:rsidRPr="00485DF3">
        <w:rPr>
          <w:sz w:val="26"/>
          <w:szCs w:val="26"/>
          <w:lang w:val="ro-RO"/>
        </w:rPr>
        <w:tab/>
        <w:t xml:space="preserve">Alta este situaţia </w:t>
      </w:r>
      <w:r w:rsidRPr="00485DF3">
        <w:rPr>
          <w:b/>
          <w:sz w:val="26"/>
          <w:szCs w:val="26"/>
          <w:lang w:val="ro-RO"/>
        </w:rPr>
        <w:t>unităţilor de poliţie</w:t>
      </w:r>
      <w:r w:rsidRPr="00485DF3">
        <w:rPr>
          <w:sz w:val="26"/>
          <w:szCs w:val="26"/>
          <w:lang w:val="ro-RO"/>
        </w:rPr>
        <w:t xml:space="preserve"> sau instanţelor de judecată care nu primesc în mod sistematic aceste categorii de date, ci numai în situaţii expres determinate de lege, atunci când funcţiile acestor entităţi sunt incidente. Aceste entităţi intră în categoria </w:t>
      </w:r>
      <w:r w:rsidRPr="00485DF3">
        <w:rPr>
          <w:b/>
          <w:sz w:val="26"/>
          <w:szCs w:val="26"/>
          <w:lang w:val="ro-RO"/>
        </w:rPr>
        <w:t>terţilor</w:t>
      </w:r>
      <w:r w:rsidRPr="00485DF3">
        <w:rPr>
          <w:sz w:val="26"/>
          <w:szCs w:val="26"/>
          <w:lang w:val="ro-RO"/>
        </w:rPr>
        <w:t xml:space="preserve">. </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 xml:space="preserve">d) </w:t>
      </w:r>
      <w:r w:rsidRPr="00485DF3">
        <w:rPr>
          <w:b/>
          <w:sz w:val="26"/>
          <w:szCs w:val="26"/>
          <w:lang w:val="ro-RO"/>
        </w:rPr>
        <w:t>„date genetice”</w:t>
      </w:r>
      <w:r w:rsidRPr="00485DF3">
        <w:rPr>
          <w:sz w:val="26"/>
          <w:szCs w:val="26"/>
          <w:lang w:val="ro-RO"/>
        </w:rPr>
        <w:t xml:space="preserve"> înseamnă datele cu caracter personal referitoare la caracteristicile genetice moştenite sau dobândite ale unei persoane fizice, care oferă informaţii unice privind fiziologia sau sănătatea persoanei respective şi care rezultă în special în urma unei analize a unei mostre de material biologic recoltate de la persoana în cauză;</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 xml:space="preserve">e) </w:t>
      </w:r>
      <w:r w:rsidRPr="00485DF3">
        <w:rPr>
          <w:b/>
          <w:sz w:val="26"/>
          <w:szCs w:val="26"/>
          <w:lang w:val="ro-RO"/>
        </w:rPr>
        <w:t>„date biometrice”</w:t>
      </w:r>
      <w:r w:rsidRPr="00485DF3">
        <w:rPr>
          <w:sz w:val="26"/>
          <w:szCs w:val="26"/>
          <w:lang w:val="ro-RO"/>
        </w:rPr>
        <w:t xml:space="preserve"> înseamnă date cu caracter personal care rezultă în urma unor tehnici de prelucrare specifice referitoare la caracteristicile fizice, fiziologice sau comportamentale ale unei persoane fizice care permit sau confirmă identificarea unică a respectivei persoane, cum ar fi imaginile faciale sau datele dactiloscopice;</w:t>
      </w:r>
    </w:p>
    <w:p w:rsidR="00EB233C" w:rsidRPr="00485DF3" w:rsidRDefault="00EB233C" w:rsidP="00EB233C">
      <w:pPr>
        <w:jc w:val="both"/>
        <w:rPr>
          <w:sz w:val="26"/>
          <w:szCs w:val="26"/>
          <w:lang w:val="ro-RO"/>
        </w:rPr>
      </w:pPr>
    </w:p>
    <w:p w:rsidR="00EB233C" w:rsidRPr="00485DF3" w:rsidRDefault="00EB233C" w:rsidP="00EB233C">
      <w:pPr>
        <w:jc w:val="both"/>
        <w:rPr>
          <w:sz w:val="26"/>
          <w:szCs w:val="26"/>
          <w:lang w:val="ro-RO"/>
        </w:rPr>
      </w:pPr>
      <w:r w:rsidRPr="00485DF3">
        <w:rPr>
          <w:sz w:val="26"/>
          <w:szCs w:val="26"/>
          <w:lang w:val="ro-RO"/>
        </w:rPr>
        <w:t>Noul cadru legislativ acordă o atenţie aparte datelor genetice şi datelor biometrice, în special în contextul dezvoltării şi utilizării de noi tehnologii care au un impact major asupra protecţiei vieţii private.</w:t>
      </w:r>
    </w:p>
    <w:p w:rsidR="00EB233C" w:rsidRPr="00485DF3" w:rsidRDefault="00EB233C" w:rsidP="00EB233C">
      <w:pPr>
        <w:jc w:val="both"/>
        <w:rPr>
          <w:sz w:val="26"/>
          <w:szCs w:val="26"/>
          <w:lang w:val="ro-RO"/>
        </w:rPr>
      </w:pPr>
    </w:p>
    <w:p w:rsidR="00EB233C" w:rsidRDefault="00EB233C" w:rsidP="00EB233C">
      <w:pPr>
        <w:jc w:val="both"/>
        <w:rPr>
          <w:sz w:val="26"/>
          <w:szCs w:val="26"/>
          <w:lang w:val="ro-RO"/>
        </w:rPr>
      </w:pPr>
      <w:r w:rsidRPr="00485DF3">
        <w:rPr>
          <w:sz w:val="26"/>
          <w:szCs w:val="26"/>
          <w:lang w:val="ro-RO"/>
        </w:rPr>
        <w:t xml:space="preserve">f) </w:t>
      </w:r>
      <w:r w:rsidRPr="00485DF3">
        <w:rPr>
          <w:b/>
          <w:sz w:val="26"/>
          <w:szCs w:val="26"/>
          <w:lang w:val="ro-RO"/>
        </w:rPr>
        <w:t>„obiecţie relevantă şi motivată”</w:t>
      </w:r>
      <w:r w:rsidRPr="00485DF3">
        <w:rPr>
          <w:sz w:val="26"/>
          <w:szCs w:val="26"/>
          <w:lang w:val="ro-RO"/>
        </w:rPr>
        <w:t xml:space="preserve"> înseamnă o obiecţie la un proiect de decizie în scopul de a stabili dacă există o încălcare a Regulamentului sau dacă măsurile preconizate în ceea ce priveşte operatorul sau persoana împuternicită de operator respectă dispoziţiile Regulamentului, care demonstrează în mod clar importanţa riscurilor pe care le prezintă proiectul de decizie în ceea ce priveşte drepturile şi libertăţile fundamentale ale persoanelor vizate şi, după caz, libera circulaţie a datelor cu caracter personal în cadrul Uniunii;</w:t>
      </w:r>
    </w:p>
    <w:p w:rsidR="0002318D" w:rsidRPr="00485DF3" w:rsidRDefault="0002318D" w:rsidP="00EB233C">
      <w:pPr>
        <w:jc w:val="both"/>
        <w:rPr>
          <w:sz w:val="26"/>
          <w:szCs w:val="26"/>
          <w:lang w:val="ro-RO"/>
        </w:rPr>
      </w:pPr>
    </w:p>
    <w:sectPr w:rsidR="0002318D" w:rsidRPr="00485DF3" w:rsidSect="00707B3C">
      <w:headerReference w:type="default" r:id="rId6"/>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D0C" w:rsidRDefault="004E7D0C" w:rsidP="00EB233C">
      <w:r>
        <w:separator/>
      </w:r>
    </w:p>
  </w:endnote>
  <w:endnote w:type="continuationSeparator" w:id="0">
    <w:p w:rsidR="004E7D0C" w:rsidRDefault="004E7D0C" w:rsidP="00EB2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8" w:rsidRDefault="00E75B28" w:rsidP="00E75B28">
    <w:pPr>
      <w:pStyle w:val="Footer"/>
    </w:pPr>
  </w:p>
  <w:p w:rsidR="00E75B28" w:rsidRPr="00A43BE6" w:rsidRDefault="00E75B28" w:rsidP="00E75B28">
    <w:pPr>
      <w:pStyle w:val="Footer"/>
      <w:framePr w:wrap="around" w:vAnchor="text" w:hAnchor="margin" w:xAlign="right" w:y="1"/>
      <w:rPr>
        <w:rStyle w:val="PageNumber"/>
      </w:rPr>
    </w:pPr>
    <w:r>
      <w:rPr>
        <w:lang w:val="ro-RO"/>
      </w:rPr>
      <w:tab/>
    </w:r>
    <w:r w:rsidR="00C9198A" w:rsidRPr="00A43BE6">
      <w:rPr>
        <w:rStyle w:val="PageNumber"/>
      </w:rPr>
      <w:fldChar w:fldCharType="begin"/>
    </w:r>
    <w:r w:rsidRPr="00A43BE6">
      <w:rPr>
        <w:rStyle w:val="PageNumber"/>
      </w:rPr>
      <w:instrText xml:space="preserve">PAGE  </w:instrText>
    </w:r>
    <w:r w:rsidR="00C9198A" w:rsidRPr="00A43BE6">
      <w:rPr>
        <w:rStyle w:val="PageNumber"/>
      </w:rPr>
      <w:fldChar w:fldCharType="separate"/>
    </w:r>
    <w:r w:rsidR="003B7B1A">
      <w:rPr>
        <w:rStyle w:val="PageNumber"/>
        <w:noProof/>
      </w:rPr>
      <w:t>1</w:t>
    </w:r>
    <w:r w:rsidR="00C9198A" w:rsidRPr="00A43BE6">
      <w:rPr>
        <w:rStyle w:val="PageNumber"/>
      </w:rPr>
      <w:fldChar w:fldCharType="end"/>
    </w:r>
    <w:r w:rsidRPr="00A43BE6">
      <w:rPr>
        <w:rStyle w:val="PageNumber"/>
      </w:rPr>
      <w:t>/</w:t>
    </w:r>
    <w:r w:rsidR="00EE620B">
      <w:rPr>
        <w:rStyle w:val="PageNumber"/>
      </w:rPr>
      <w:t>3</w:t>
    </w:r>
  </w:p>
  <w:p w:rsidR="00E75B28" w:rsidRPr="001A5278" w:rsidRDefault="00E75B28" w:rsidP="00E75B28">
    <w:pPr>
      <w:pStyle w:val="Footer"/>
      <w:spacing w:line="480" w:lineRule="auto"/>
      <w:jc w:val="center"/>
      <w:rPr>
        <w:sz w:val="16"/>
        <w:lang w:val="it-IT"/>
      </w:rPr>
    </w:pPr>
  </w:p>
  <w:p w:rsidR="00E75B28" w:rsidRDefault="00E75B28" w:rsidP="00E75B28">
    <w:pPr>
      <w:pStyle w:val="Footer"/>
      <w:rPr>
        <w:lang w:val="ro-RO"/>
      </w:rPr>
    </w:pPr>
  </w:p>
  <w:p w:rsidR="00E75B28" w:rsidRPr="00CA12D7" w:rsidRDefault="00E75B28" w:rsidP="00E75B28">
    <w:pPr>
      <w:pStyle w:val="Footer"/>
      <w:rPr>
        <w:lang w:val="fr-FR"/>
      </w:rPr>
    </w:pPr>
  </w:p>
  <w:p w:rsidR="00E75B28" w:rsidRDefault="00E75B28">
    <w:pPr>
      <w:pStyle w:val="Footer"/>
    </w:pPr>
  </w:p>
  <w:p w:rsidR="00E75B28" w:rsidRDefault="00E75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D0C" w:rsidRDefault="004E7D0C" w:rsidP="00EB233C">
      <w:r>
        <w:separator/>
      </w:r>
    </w:p>
  </w:footnote>
  <w:footnote w:type="continuationSeparator" w:id="0">
    <w:p w:rsidR="004E7D0C" w:rsidRDefault="004E7D0C" w:rsidP="00EB233C">
      <w:r>
        <w:continuationSeparator/>
      </w:r>
    </w:p>
  </w:footnote>
  <w:footnote w:id="1">
    <w:p w:rsidR="00EB233C" w:rsidRPr="00056181" w:rsidRDefault="00EB233C" w:rsidP="00EB233C">
      <w:pPr>
        <w:pStyle w:val="FootnoteText"/>
        <w:rPr>
          <w:lang w:val="ro-RO"/>
        </w:rPr>
      </w:pPr>
      <w:r>
        <w:rPr>
          <w:rStyle w:val="FootnoteReference"/>
        </w:rPr>
        <w:footnoteRef/>
      </w:r>
      <w:r>
        <w:t xml:space="preserve"> </w:t>
      </w:r>
      <w:proofErr w:type="spellStart"/>
      <w:r w:rsidRPr="00056181">
        <w:t>Tratatul</w:t>
      </w:r>
      <w:proofErr w:type="spellEnd"/>
      <w:r w:rsidRPr="00056181">
        <w:t xml:space="preserve"> </w:t>
      </w:r>
      <w:proofErr w:type="spellStart"/>
      <w:r w:rsidRPr="00056181">
        <w:t>privind</w:t>
      </w:r>
      <w:proofErr w:type="spellEnd"/>
      <w:r w:rsidRPr="00056181">
        <w:t xml:space="preserve"> </w:t>
      </w:r>
      <w:proofErr w:type="spellStart"/>
      <w:r w:rsidRPr="00056181">
        <w:t>Uniunea</w:t>
      </w:r>
      <w:proofErr w:type="spellEnd"/>
      <w:r w:rsidRPr="00056181">
        <w:t xml:space="preserve"> </w:t>
      </w:r>
      <w:proofErr w:type="spellStart"/>
      <w:r w:rsidRPr="00056181">
        <w:t>Europeană</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B28" w:rsidRDefault="00E75B28">
    <w:pPr>
      <w:pStyle w:val="Header"/>
    </w:pPr>
  </w:p>
  <w:p w:rsidR="00E75B28" w:rsidRDefault="00E75B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hyphenationZone w:val="425"/>
  <w:characterSpacingControl w:val="doNotCompress"/>
  <w:footnotePr>
    <w:footnote w:id="-1"/>
    <w:footnote w:id="0"/>
  </w:footnotePr>
  <w:endnotePr>
    <w:endnote w:id="-1"/>
    <w:endnote w:id="0"/>
  </w:endnotePr>
  <w:compat/>
  <w:rsids>
    <w:rsidRoot w:val="009E3E06"/>
    <w:rsid w:val="0002318D"/>
    <w:rsid w:val="003B7B1A"/>
    <w:rsid w:val="003D3F90"/>
    <w:rsid w:val="00407F9F"/>
    <w:rsid w:val="004349E1"/>
    <w:rsid w:val="00485DF3"/>
    <w:rsid w:val="004E7D0C"/>
    <w:rsid w:val="005565D0"/>
    <w:rsid w:val="00561672"/>
    <w:rsid w:val="00622B8D"/>
    <w:rsid w:val="00664657"/>
    <w:rsid w:val="00684A4F"/>
    <w:rsid w:val="006F7949"/>
    <w:rsid w:val="00707B3C"/>
    <w:rsid w:val="0074466D"/>
    <w:rsid w:val="007777AE"/>
    <w:rsid w:val="00864ADF"/>
    <w:rsid w:val="0088626A"/>
    <w:rsid w:val="008D6384"/>
    <w:rsid w:val="009E3E06"/>
    <w:rsid w:val="00A15178"/>
    <w:rsid w:val="00A50E96"/>
    <w:rsid w:val="00A602C5"/>
    <w:rsid w:val="00A61C69"/>
    <w:rsid w:val="00A75DAB"/>
    <w:rsid w:val="00B30C1F"/>
    <w:rsid w:val="00B4462A"/>
    <w:rsid w:val="00B93D9A"/>
    <w:rsid w:val="00BA0136"/>
    <w:rsid w:val="00C1187C"/>
    <w:rsid w:val="00C36AA2"/>
    <w:rsid w:val="00C9198A"/>
    <w:rsid w:val="00CE7E75"/>
    <w:rsid w:val="00D724A1"/>
    <w:rsid w:val="00DA15AE"/>
    <w:rsid w:val="00E75B28"/>
    <w:rsid w:val="00EB233C"/>
    <w:rsid w:val="00EB2B3E"/>
    <w:rsid w:val="00EB6562"/>
    <w:rsid w:val="00EC3663"/>
    <w:rsid w:val="00EE620B"/>
    <w:rsid w:val="00EE63A9"/>
    <w:rsid w:val="00F0576E"/>
    <w:rsid w:val="00F431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E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B233C"/>
    <w:rPr>
      <w:sz w:val="20"/>
      <w:szCs w:val="20"/>
    </w:rPr>
  </w:style>
  <w:style w:type="character" w:customStyle="1" w:styleId="FootnoteTextChar">
    <w:name w:val="Footnote Text Char"/>
    <w:basedOn w:val="DefaultParagraphFont"/>
    <w:link w:val="FootnoteText"/>
    <w:rsid w:val="00EB233C"/>
    <w:rPr>
      <w:rFonts w:ascii="Times New Roman" w:eastAsia="Times New Roman" w:hAnsi="Times New Roman" w:cs="Times New Roman"/>
      <w:sz w:val="20"/>
      <w:szCs w:val="20"/>
    </w:rPr>
  </w:style>
  <w:style w:type="character" w:styleId="FootnoteReference">
    <w:name w:val="footnote reference"/>
    <w:uiPriority w:val="99"/>
    <w:semiHidden/>
    <w:unhideWhenUsed/>
    <w:rsid w:val="00EB233C"/>
    <w:rPr>
      <w:vertAlign w:val="superscript"/>
    </w:rPr>
  </w:style>
  <w:style w:type="paragraph" w:styleId="Header">
    <w:name w:val="header"/>
    <w:basedOn w:val="Normal"/>
    <w:link w:val="HeaderChar"/>
    <w:uiPriority w:val="99"/>
    <w:unhideWhenUsed/>
    <w:rsid w:val="00E75B28"/>
    <w:pPr>
      <w:tabs>
        <w:tab w:val="center" w:pos="4680"/>
        <w:tab w:val="right" w:pos="9360"/>
      </w:tabs>
    </w:pPr>
  </w:style>
  <w:style w:type="character" w:customStyle="1" w:styleId="HeaderChar">
    <w:name w:val="Header Char"/>
    <w:basedOn w:val="DefaultParagraphFont"/>
    <w:link w:val="Header"/>
    <w:uiPriority w:val="99"/>
    <w:rsid w:val="00E75B28"/>
    <w:rPr>
      <w:rFonts w:ascii="Times New Roman" w:eastAsia="Times New Roman" w:hAnsi="Times New Roman" w:cs="Times New Roman"/>
      <w:sz w:val="24"/>
      <w:szCs w:val="24"/>
    </w:rPr>
  </w:style>
  <w:style w:type="paragraph" w:styleId="Footer">
    <w:name w:val="footer"/>
    <w:basedOn w:val="Normal"/>
    <w:link w:val="FooterChar"/>
    <w:unhideWhenUsed/>
    <w:rsid w:val="00E75B28"/>
    <w:pPr>
      <w:tabs>
        <w:tab w:val="center" w:pos="4680"/>
        <w:tab w:val="right" w:pos="9360"/>
      </w:tabs>
    </w:pPr>
  </w:style>
  <w:style w:type="character" w:customStyle="1" w:styleId="FooterChar">
    <w:name w:val="Footer Char"/>
    <w:basedOn w:val="DefaultParagraphFont"/>
    <w:link w:val="Footer"/>
    <w:rsid w:val="00E75B28"/>
    <w:rPr>
      <w:rFonts w:ascii="Times New Roman" w:eastAsia="Times New Roman" w:hAnsi="Times New Roman" w:cs="Times New Roman"/>
      <w:sz w:val="24"/>
      <w:szCs w:val="24"/>
    </w:rPr>
  </w:style>
  <w:style w:type="character" w:styleId="Hyperlink">
    <w:name w:val="Hyperlink"/>
    <w:basedOn w:val="DefaultParagraphFont"/>
    <w:rsid w:val="00E75B28"/>
    <w:rPr>
      <w:color w:val="0000FF"/>
      <w:u w:val="single"/>
    </w:rPr>
  </w:style>
  <w:style w:type="character" w:styleId="PageNumber">
    <w:name w:val="page number"/>
    <w:basedOn w:val="DefaultParagraphFont"/>
    <w:rsid w:val="00E75B28"/>
  </w:style>
</w:styles>
</file>

<file path=word/webSettings.xml><?xml version="1.0" encoding="utf-8"?>
<w:webSettings xmlns:r="http://schemas.openxmlformats.org/officeDocument/2006/relationships" xmlns:w="http://schemas.openxmlformats.org/wordprocessingml/2006/main">
  <w:divs>
    <w:div w:id="11357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1160</Words>
  <Characters>6732</Characters>
  <Application>Microsoft Office Word</Application>
  <DocSecurity>0</DocSecurity>
  <Lines>56</Lines>
  <Paragraphs>15</Paragraphs>
  <ScaleCrop>false</ScaleCrop>
  <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nagy_florentina_sm</cp:lastModifiedBy>
  <cp:revision>38</cp:revision>
  <dcterms:created xsi:type="dcterms:W3CDTF">2018-04-24T08:17:00Z</dcterms:created>
  <dcterms:modified xsi:type="dcterms:W3CDTF">2018-05-07T06:26:00Z</dcterms:modified>
</cp:coreProperties>
</file>